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D6A5" w14:textId="1C732BC8" w:rsidR="00F67107" w:rsidRPr="001B3A1C" w:rsidRDefault="00F67107" w:rsidP="001B3A1C">
      <w:pPr>
        <w:pStyle w:val="Heading1"/>
        <w:rPr>
          <w:rFonts w:ascii="Arial" w:hAnsi="Arial" w:cs="Arial"/>
          <w:b/>
          <w:sz w:val="24"/>
          <w:szCs w:val="24"/>
        </w:rPr>
      </w:pPr>
      <w:r w:rsidRPr="001B3A1C">
        <w:rPr>
          <w:rFonts w:ascii="Arial" w:hAnsi="Arial" w:cs="Arial"/>
          <w:b/>
          <w:sz w:val="24"/>
          <w:szCs w:val="24"/>
        </w:rPr>
        <w:t>UNDERSTANDING THE REGULATORY FRAMEWORK</w:t>
      </w:r>
    </w:p>
    <w:p w14:paraId="1981E362" w14:textId="77777777" w:rsidR="001B3A1C" w:rsidRDefault="001B3A1C" w:rsidP="00893557">
      <w:pPr>
        <w:jc w:val="both"/>
        <w:rPr>
          <w:rFonts w:ascii="Arial" w:hAnsi="Arial" w:cs="Arial"/>
          <w:sz w:val="24"/>
          <w:szCs w:val="24"/>
        </w:rPr>
      </w:pPr>
    </w:p>
    <w:p w14:paraId="1100463F" w14:textId="0D448A7F" w:rsidR="00F67107" w:rsidRPr="001B3A1C" w:rsidRDefault="00F67107" w:rsidP="00893557">
      <w:pPr>
        <w:jc w:val="both"/>
        <w:rPr>
          <w:rFonts w:ascii="Arial" w:hAnsi="Arial" w:cs="Arial"/>
          <w:sz w:val="24"/>
          <w:szCs w:val="24"/>
        </w:rPr>
      </w:pPr>
      <w:r w:rsidRPr="001B3A1C">
        <w:rPr>
          <w:rFonts w:ascii="Arial" w:hAnsi="Arial" w:cs="Arial"/>
          <w:sz w:val="24"/>
          <w:szCs w:val="24"/>
        </w:rPr>
        <w:t>Regulatory financial requirements for charity finances, including SORP and SOFA, fund accounts and annual trustee reports.</w:t>
      </w:r>
    </w:p>
    <w:p w14:paraId="0151B7BF" w14:textId="77777777" w:rsidR="00F67107" w:rsidRPr="001B3A1C" w:rsidRDefault="00F67107" w:rsidP="00893557">
      <w:pPr>
        <w:jc w:val="both"/>
        <w:rPr>
          <w:rFonts w:ascii="Arial" w:hAnsi="Arial" w:cs="Arial"/>
          <w:b/>
          <w:sz w:val="24"/>
          <w:szCs w:val="24"/>
        </w:rPr>
      </w:pPr>
      <w:r w:rsidRPr="001B3A1C">
        <w:rPr>
          <w:rFonts w:ascii="Arial" w:hAnsi="Arial" w:cs="Arial"/>
          <w:b/>
          <w:sz w:val="24"/>
          <w:szCs w:val="24"/>
        </w:rPr>
        <w:t>Statement of Recommended Practice (SORP)</w:t>
      </w:r>
    </w:p>
    <w:p w14:paraId="02BCFC29" w14:textId="77777777" w:rsidR="00F67107" w:rsidRPr="001B3A1C" w:rsidRDefault="00F67107" w:rsidP="00893557">
      <w:pPr>
        <w:jc w:val="both"/>
        <w:rPr>
          <w:rFonts w:ascii="Arial" w:hAnsi="Arial" w:cs="Arial"/>
          <w:sz w:val="24"/>
          <w:szCs w:val="24"/>
        </w:rPr>
      </w:pPr>
      <w:r w:rsidRPr="001B3A1C">
        <w:rPr>
          <w:rFonts w:ascii="Arial" w:hAnsi="Arial" w:cs="Arial"/>
          <w:sz w:val="24"/>
          <w:szCs w:val="24"/>
        </w:rPr>
        <w:t>The way in which charities report on their accounts is guided by the Statement of Recommended Practice: Accounting by Charities (SORP) issued by the Charity Commission in conjunction with the Financial Reporting Council.</w:t>
      </w:r>
    </w:p>
    <w:p w14:paraId="6B71B934" w14:textId="77777777" w:rsidR="00F67107" w:rsidRPr="001B3A1C" w:rsidRDefault="00F67107" w:rsidP="00893557">
      <w:pPr>
        <w:jc w:val="both"/>
        <w:rPr>
          <w:rFonts w:ascii="Arial" w:hAnsi="Arial" w:cs="Arial"/>
          <w:sz w:val="24"/>
          <w:szCs w:val="24"/>
        </w:rPr>
      </w:pPr>
      <w:r w:rsidRPr="001B3A1C">
        <w:rPr>
          <w:rFonts w:ascii="Arial" w:hAnsi="Arial" w:cs="Arial"/>
          <w:sz w:val="24"/>
          <w:szCs w:val="24"/>
        </w:rPr>
        <w:t>The SORP contains guidance on good practice regarding the suitable treatment and presentation of charity accounts. The SORP is regularly updated and the latest revision is simply referred to as SORP 2015. It takes effect for financial years beginning on or after 1 January 2015.</w:t>
      </w:r>
    </w:p>
    <w:p w14:paraId="5EF31DCF" w14:textId="77777777" w:rsidR="00F67107" w:rsidRPr="001B3A1C" w:rsidRDefault="00F67107" w:rsidP="00893557">
      <w:pPr>
        <w:jc w:val="both"/>
        <w:rPr>
          <w:rFonts w:ascii="Arial" w:hAnsi="Arial" w:cs="Arial"/>
          <w:sz w:val="24"/>
          <w:szCs w:val="24"/>
        </w:rPr>
      </w:pPr>
      <w:r w:rsidRPr="001B3A1C">
        <w:rPr>
          <w:rFonts w:ascii="Arial" w:hAnsi="Arial" w:cs="Arial"/>
          <w:sz w:val="24"/>
          <w:szCs w:val="24"/>
        </w:rPr>
        <w:t>The SORP requires legal and accounting interpretation and you should rely on professional expertise for this. Here we identify the key requirements of SORP.</w:t>
      </w:r>
    </w:p>
    <w:p w14:paraId="2B7121A4" w14:textId="423C5A4F" w:rsidR="00F67107" w:rsidRPr="001B3A1C" w:rsidRDefault="00F67107" w:rsidP="00893557">
      <w:pPr>
        <w:jc w:val="both"/>
        <w:rPr>
          <w:rFonts w:ascii="Arial" w:hAnsi="Arial" w:cs="Arial"/>
          <w:b/>
          <w:sz w:val="24"/>
          <w:szCs w:val="24"/>
        </w:rPr>
      </w:pPr>
      <w:r w:rsidRPr="001B3A1C">
        <w:rPr>
          <w:rFonts w:ascii="Arial" w:hAnsi="Arial" w:cs="Arial"/>
          <w:b/>
          <w:sz w:val="24"/>
          <w:szCs w:val="24"/>
        </w:rPr>
        <w:t xml:space="preserve">Trustees' </w:t>
      </w:r>
      <w:r w:rsidR="00893557" w:rsidRPr="001B3A1C">
        <w:rPr>
          <w:rFonts w:ascii="Arial" w:hAnsi="Arial" w:cs="Arial"/>
          <w:b/>
          <w:sz w:val="24"/>
          <w:szCs w:val="24"/>
        </w:rPr>
        <w:t>A</w:t>
      </w:r>
      <w:r w:rsidRPr="001B3A1C">
        <w:rPr>
          <w:rFonts w:ascii="Arial" w:hAnsi="Arial" w:cs="Arial"/>
          <w:b/>
          <w:sz w:val="24"/>
          <w:szCs w:val="24"/>
        </w:rPr>
        <w:t xml:space="preserve">nnual </w:t>
      </w:r>
      <w:r w:rsidR="00893557" w:rsidRPr="001B3A1C">
        <w:rPr>
          <w:rFonts w:ascii="Arial" w:hAnsi="Arial" w:cs="Arial"/>
          <w:b/>
          <w:sz w:val="24"/>
          <w:szCs w:val="24"/>
        </w:rPr>
        <w:t>R</w:t>
      </w:r>
      <w:r w:rsidRPr="001B3A1C">
        <w:rPr>
          <w:rFonts w:ascii="Arial" w:hAnsi="Arial" w:cs="Arial"/>
          <w:b/>
          <w:sz w:val="24"/>
          <w:szCs w:val="24"/>
        </w:rPr>
        <w:t>eport</w:t>
      </w:r>
    </w:p>
    <w:p w14:paraId="423968E7" w14:textId="219FE966" w:rsidR="00F67107" w:rsidRPr="001B3A1C" w:rsidRDefault="00893557" w:rsidP="00893557">
      <w:pPr>
        <w:jc w:val="both"/>
        <w:rPr>
          <w:rFonts w:ascii="Arial" w:hAnsi="Arial" w:cs="Arial"/>
          <w:sz w:val="24"/>
          <w:szCs w:val="24"/>
        </w:rPr>
      </w:pPr>
      <w:r w:rsidRPr="001B3A1C">
        <w:rPr>
          <w:rFonts w:ascii="Arial" w:hAnsi="Arial" w:cs="Arial"/>
          <w:sz w:val="24"/>
          <w:szCs w:val="24"/>
        </w:rPr>
        <w:t>The primary purpose of the T</w:t>
      </w:r>
      <w:r w:rsidR="00F67107" w:rsidRPr="001B3A1C">
        <w:rPr>
          <w:rFonts w:ascii="Arial" w:hAnsi="Arial" w:cs="Arial"/>
          <w:sz w:val="24"/>
          <w:szCs w:val="24"/>
        </w:rPr>
        <w:t xml:space="preserve">rustees’ </w:t>
      </w:r>
      <w:r w:rsidRPr="001B3A1C">
        <w:rPr>
          <w:rFonts w:ascii="Arial" w:hAnsi="Arial" w:cs="Arial"/>
          <w:sz w:val="24"/>
          <w:szCs w:val="24"/>
        </w:rPr>
        <w:t>A</w:t>
      </w:r>
      <w:r w:rsidR="00F67107" w:rsidRPr="001B3A1C">
        <w:rPr>
          <w:rFonts w:ascii="Arial" w:hAnsi="Arial" w:cs="Arial"/>
          <w:sz w:val="24"/>
          <w:szCs w:val="24"/>
        </w:rPr>
        <w:t xml:space="preserve">nnual </w:t>
      </w:r>
      <w:r w:rsidRPr="001B3A1C">
        <w:rPr>
          <w:rFonts w:ascii="Arial" w:hAnsi="Arial" w:cs="Arial"/>
          <w:sz w:val="24"/>
          <w:szCs w:val="24"/>
        </w:rPr>
        <w:t>R</w:t>
      </w:r>
      <w:r w:rsidR="00F67107" w:rsidRPr="001B3A1C">
        <w:rPr>
          <w:rFonts w:ascii="Arial" w:hAnsi="Arial" w:cs="Arial"/>
          <w:sz w:val="24"/>
          <w:szCs w:val="24"/>
        </w:rPr>
        <w:t>eport (TAR) is to ensure that the charity is publicly accountable for the stewardship of the funds it holds on trust. The report should assist the user to assess the charity’s progress against its objectives and to understand its plans in relation to its purposes. It should be a coherent document that also meets the requirements of law and regulation. Every charity with a gross income above £25,000 must submit its Trustees’ Annual Report to the Charity Commission. The content of the annual report usually includes:</w:t>
      </w:r>
    </w:p>
    <w:p w14:paraId="7EF87223" w14:textId="4DE0DE80"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R</w:t>
      </w:r>
      <w:r w:rsidR="00F67107" w:rsidRPr="001B3A1C">
        <w:rPr>
          <w:rFonts w:ascii="Arial" w:hAnsi="Arial" w:cs="Arial"/>
          <w:sz w:val="24"/>
          <w:szCs w:val="24"/>
        </w:rPr>
        <w:t>eference and administrative details</w:t>
      </w:r>
    </w:p>
    <w:p w14:paraId="1C3FAD7E" w14:textId="2F95E7D6"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S</w:t>
      </w:r>
      <w:r w:rsidR="00F67107" w:rsidRPr="001B3A1C">
        <w:rPr>
          <w:rFonts w:ascii="Arial" w:hAnsi="Arial" w:cs="Arial"/>
          <w:sz w:val="24"/>
          <w:szCs w:val="24"/>
        </w:rPr>
        <w:t>tructure, governance and management</w:t>
      </w:r>
    </w:p>
    <w:p w14:paraId="51EF6927" w14:textId="24EBC43A"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O</w:t>
      </w:r>
      <w:r w:rsidR="00F67107" w:rsidRPr="001B3A1C">
        <w:rPr>
          <w:rFonts w:ascii="Arial" w:hAnsi="Arial" w:cs="Arial"/>
          <w:sz w:val="24"/>
          <w:szCs w:val="24"/>
        </w:rPr>
        <w:t>bjectives and activities</w:t>
      </w:r>
    </w:p>
    <w:p w14:paraId="68A1E7B7" w14:textId="03D3A37D"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A</w:t>
      </w:r>
      <w:r w:rsidR="00F67107" w:rsidRPr="001B3A1C">
        <w:rPr>
          <w:rFonts w:ascii="Arial" w:hAnsi="Arial" w:cs="Arial"/>
          <w:sz w:val="24"/>
          <w:szCs w:val="24"/>
        </w:rPr>
        <w:t>chievements and performance</w:t>
      </w:r>
    </w:p>
    <w:p w14:paraId="26433C90" w14:textId="6933B1A6"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f</w:t>
      </w:r>
      <w:r w:rsidR="00F67107" w:rsidRPr="001B3A1C">
        <w:rPr>
          <w:rFonts w:ascii="Arial" w:hAnsi="Arial" w:cs="Arial"/>
          <w:sz w:val="24"/>
          <w:szCs w:val="24"/>
        </w:rPr>
        <w:t>inancial review</w:t>
      </w:r>
    </w:p>
    <w:p w14:paraId="7C77150F" w14:textId="7F3312D4" w:rsidR="00F67107" w:rsidRPr="001B3A1C" w:rsidRDefault="00893557" w:rsidP="00893557">
      <w:pPr>
        <w:pStyle w:val="NoSpacing"/>
        <w:numPr>
          <w:ilvl w:val="0"/>
          <w:numId w:val="4"/>
        </w:numPr>
        <w:ind w:hanging="513"/>
        <w:rPr>
          <w:rFonts w:ascii="Arial" w:hAnsi="Arial" w:cs="Arial"/>
          <w:sz w:val="24"/>
          <w:szCs w:val="24"/>
        </w:rPr>
      </w:pPr>
      <w:proofErr w:type="gramStart"/>
      <w:r w:rsidRPr="001B3A1C">
        <w:rPr>
          <w:rFonts w:ascii="Arial" w:hAnsi="Arial" w:cs="Arial"/>
          <w:sz w:val="24"/>
          <w:szCs w:val="24"/>
        </w:rPr>
        <w:t>Future p</w:t>
      </w:r>
      <w:r w:rsidR="00F67107" w:rsidRPr="001B3A1C">
        <w:rPr>
          <w:rFonts w:ascii="Arial" w:hAnsi="Arial" w:cs="Arial"/>
          <w:sz w:val="24"/>
          <w:szCs w:val="24"/>
        </w:rPr>
        <w:t>lans</w:t>
      </w:r>
      <w:proofErr w:type="gramEnd"/>
      <w:r w:rsidR="00F67107" w:rsidRPr="001B3A1C">
        <w:rPr>
          <w:rFonts w:ascii="Arial" w:hAnsi="Arial" w:cs="Arial"/>
          <w:sz w:val="24"/>
          <w:szCs w:val="24"/>
        </w:rPr>
        <w:t xml:space="preserve"> </w:t>
      </w:r>
    </w:p>
    <w:p w14:paraId="7F6FDBDA" w14:textId="656653F0" w:rsidR="00F67107" w:rsidRPr="001B3A1C" w:rsidRDefault="00893557" w:rsidP="00893557">
      <w:pPr>
        <w:pStyle w:val="NoSpacing"/>
        <w:numPr>
          <w:ilvl w:val="0"/>
          <w:numId w:val="4"/>
        </w:numPr>
        <w:ind w:hanging="513"/>
        <w:rPr>
          <w:rFonts w:ascii="Arial" w:hAnsi="Arial" w:cs="Arial"/>
          <w:sz w:val="24"/>
          <w:szCs w:val="24"/>
        </w:rPr>
      </w:pPr>
      <w:r w:rsidRPr="001B3A1C">
        <w:rPr>
          <w:rFonts w:ascii="Arial" w:hAnsi="Arial" w:cs="Arial"/>
          <w:sz w:val="24"/>
          <w:szCs w:val="24"/>
        </w:rPr>
        <w:t>A</w:t>
      </w:r>
      <w:r w:rsidR="00F67107" w:rsidRPr="001B3A1C">
        <w:rPr>
          <w:rFonts w:ascii="Arial" w:hAnsi="Arial" w:cs="Arial"/>
          <w:sz w:val="24"/>
          <w:szCs w:val="24"/>
        </w:rPr>
        <w:t>ny funds that the organisation holds as custodian trustees for other charities.</w:t>
      </w:r>
    </w:p>
    <w:p w14:paraId="1509EACD" w14:textId="77777777" w:rsidR="00F67107" w:rsidRPr="001B3A1C" w:rsidRDefault="00F67107" w:rsidP="00893557">
      <w:pPr>
        <w:spacing w:after="0" w:line="240" w:lineRule="auto"/>
        <w:rPr>
          <w:rFonts w:ascii="Arial" w:hAnsi="Arial" w:cs="Arial"/>
          <w:sz w:val="24"/>
          <w:szCs w:val="24"/>
        </w:rPr>
      </w:pPr>
    </w:p>
    <w:p w14:paraId="4B88A1F0" w14:textId="10C03DD4" w:rsidR="00F67107" w:rsidRPr="001B3A1C" w:rsidRDefault="00893557" w:rsidP="00893557">
      <w:pPr>
        <w:spacing w:after="0" w:line="240" w:lineRule="auto"/>
        <w:rPr>
          <w:rFonts w:ascii="Arial" w:hAnsi="Arial" w:cs="Arial"/>
          <w:b/>
          <w:sz w:val="24"/>
          <w:szCs w:val="24"/>
        </w:rPr>
      </w:pPr>
      <w:r w:rsidRPr="001B3A1C">
        <w:rPr>
          <w:rFonts w:ascii="Arial" w:hAnsi="Arial" w:cs="Arial"/>
          <w:b/>
          <w:sz w:val="24"/>
          <w:szCs w:val="24"/>
        </w:rPr>
        <w:t>Audit or I</w:t>
      </w:r>
      <w:r w:rsidR="00F67107" w:rsidRPr="001B3A1C">
        <w:rPr>
          <w:rFonts w:ascii="Arial" w:hAnsi="Arial" w:cs="Arial"/>
          <w:b/>
          <w:sz w:val="24"/>
          <w:szCs w:val="24"/>
        </w:rPr>
        <w:t xml:space="preserve">ndependent </w:t>
      </w:r>
      <w:r w:rsidRPr="001B3A1C">
        <w:rPr>
          <w:rFonts w:ascii="Arial" w:hAnsi="Arial" w:cs="Arial"/>
          <w:b/>
          <w:sz w:val="24"/>
          <w:szCs w:val="24"/>
        </w:rPr>
        <w:t>E</w:t>
      </w:r>
      <w:r w:rsidR="00F67107" w:rsidRPr="001B3A1C">
        <w:rPr>
          <w:rFonts w:ascii="Arial" w:hAnsi="Arial" w:cs="Arial"/>
          <w:b/>
          <w:sz w:val="24"/>
          <w:szCs w:val="24"/>
        </w:rPr>
        <w:t>xamination</w:t>
      </w:r>
    </w:p>
    <w:p w14:paraId="623248BF" w14:textId="77777777" w:rsidR="00893557" w:rsidRPr="001B3A1C" w:rsidRDefault="00893557" w:rsidP="00893557">
      <w:pPr>
        <w:spacing w:after="0" w:line="240" w:lineRule="auto"/>
        <w:rPr>
          <w:rFonts w:ascii="Arial" w:hAnsi="Arial" w:cs="Arial"/>
          <w:b/>
          <w:sz w:val="24"/>
          <w:szCs w:val="24"/>
        </w:rPr>
      </w:pPr>
    </w:p>
    <w:p w14:paraId="07CAD5FC" w14:textId="1644386B" w:rsidR="00F67107" w:rsidRPr="001B3A1C" w:rsidRDefault="00F67107" w:rsidP="00893557">
      <w:pPr>
        <w:spacing w:after="0" w:line="240" w:lineRule="auto"/>
        <w:rPr>
          <w:rFonts w:ascii="Arial" w:hAnsi="Arial" w:cs="Arial"/>
          <w:sz w:val="24"/>
          <w:szCs w:val="24"/>
        </w:rPr>
      </w:pPr>
      <w:r w:rsidRPr="001B3A1C">
        <w:rPr>
          <w:rFonts w:ascii="Arial" w:hAnsi="Arial" w:cs="Arial"/>
          <w:sz w:val="24"/>
          <w:szCs w:val="24"/>
        </w:rPr>
        <w:t xml:space="preserve">Precisely what type of scrutiny is needed depends on the income and assets of the </w:t>
      </w:r>
      <w:bookmarkStart w:id="0" w:name="_GoBack"/>
      <w:bookmarkEnd w:id="0"/>
      <w:r w:rsidRPr="001B3A1C">
        <w:rPr>
          <w:rFonts w:ascii="Arial" w:hAnsi="Arial" w:cs="Arial"/>
          <w:sz w:val="24"/>
          <w:szCs w:val="24"/>
        </w:rPr>
        <w:t xml:space="preserve">charity. Broadly speaking, an independent examination is needed if gross income is between £25,000 and £1 million and an audit is needed where the gross income </w:t>
      </w:r>
      <w:r w:rsidRPr="001B3A1C">
        <w:rPr>
          <w:rFonts w:ascii="Arial" w:hAnsi="Arial" w:cs="Arial"/>
          <w:sz w:val="24"/>
          <w:szCs w:val="24"/>
        </w:rPr>
        <w:lastRenderedPageBreak/>
        <w:t>exceeds £1 million. An audit will also be needed if total assets (before liabilities) exceed £3.26 million, and the charity’s gross income is more than £250,000.</w:t>
      </w:r>
    </w:p>
    <w:p w14:paraId="52350D27" w14:textId="77777777" w:rsidR="00893557" w:rsidRPr="001B3A1C" w:rsidRDefault="00893557" w:rsidP="00893557">
      <w:pPr>
        <w:spacing w:after="0" w:line="240" w:lineRule="auto"/>
        <w:rPr>
          <w:rFonts w:ascii="Arial" w:hAnsi="Arial" w:cs="Arial"/>
          <w:sz w:val="24"/>
          <w:szCs w:val="24"/>
        </w:rPr>
      </w:pPr>
    </w:p>
    <w:p w14:paraId="55A9578D" w14:textId="709A97E8" w:rsidR="0065568B" w:rsidRPr="001B3A1C" w:rsidRDefault="00F67107" w:rsidP="00893557">
      <w:pPr>
        <w:spacing w:after="0" w:line="240" w:lineRule="auto"/>
        <w:jc w:val="both"/>
        <w:rPr>
          <w:rFonts w:ascii="Arial" w:hAnsi="Arial" w:cs="Arial"/>
          <w:sz w:val="24"/>
          <w:szCs w:val="24"/>
        </w:rPr>
      </w:pPr>
      <w:r w:rsidRPr="001B3A1C">
        <w:rPr>
          <w:rFonts w:ascii="Arial" w:hAnsi="Arial" w:cs="Arial"/>
          <w:sz w:val="24"/>
          <w:szCs w:val="24"/>
        </w:rPr>
        <w:t>Regardless of these thresholds, an external scrutiny of accounts is needed if it is required by the charity’s governing document</w:t>
      </w:r>
    </w:p>
    <w:p w14:paraId="75C29537" w14:textId="77777777" w:rsidR="00893557" w:rsidRPr="001B3A1C" w:rsidRDefault="00893557" w:rsidP="00893557">
      <w:pPr>
        <w:spacing w:after="0" w:line="240" w:lineRule="auto"/>
        <w:jc w:val="both"/>
        <w:rPr>
          <w:rFonts w:ascii="Arial" w:hAnsi="Arial" w:cs="Arial"/>
          <w:sz w:val="24"/>
          <w:szCs w:val="24"/>
        </w:rPr>
      </w:pPr>
    </w:p>
    <w:p w14:paraId="710EA6EC" w14:textId="3757E6AD" w:rsidR="00F67107" w:rsidRPr="001B3A1C" w:rsidRDefault="00F67107" w:rsidP="00893557">
      <w:pPr>
        <w:spacing w:after="0" w:line="240" w:lineRule="auto"/>
        <w:jc w:val="both"/>
        <w:rPr>
          <w:rFonts w:ascii="Arial" w:hAnsi="Arial" w:cs="Arial"/>
          <w:b/>
          <w:sz w:val="24"/>
          <w:szCs w:val="24"/>
        </w:rPr>
      </w:pPr>
      <w:r w:rsidRPr="001B3A1C">
        <w:rPr>
          <w:rFonts w:ascii="Arial" w:hAnsi="Arial" w:cs="Arial"/>
          <w:b/>
          <w:sz w:val="24"/>
          <w:szCs w:val="24"/>
        </w:rPr>
        <w:t>Statement of Financial Activities (SoFA)</w:t>
      </w:r>
    </w:p>
    <w:p w14:paraId="42394DF1" w14:textId="77777777" w:rsidR="00893557" w:rsidRPr="001B3A1C" w:rsidRDefault="00893557" w:rsidP="00893557">
      <w:pPr>
        <w:spacing w:after="0" w:line="240" w:lineRule="auto"/>
        <w:jc w:val="both"/>
        <w:rPr>
          <w:rFonts w:ascii="Arial" w:hAnsi="Arial" w:cs="Arial"/>
          <w:b/>
          <w:sz w:val="24"/>
          <w:szCs w:val="24"/>
        </w:rPr>
      </w:pPr>
    </w:p>
    <w:p w14:paraId="583DA453" w14:textId="09AF9C68" w:rsidR="00893557" w:rsidRPr="001B3A1C" w:rsidRDefault="00F67107" w:rsidP="00893557">
      <w:pPr>
        <w:spacing w:after="0" w:line="240" w:lineRule="auto"/>
        <w:jc w:val="both"/>
        <w:rPr>
          <w:rFonts w:ascii="Arial" w:hAnsi="Arial" w:cs="Arial"/>
          <w:sz w:val="24"/>
          <w:szCs w:val="24"/>
        </w:rPr>
      </w:pPr>
      <w:r w:rsidRPr="001B3A1C">
        <w:rPr>
          <w:rFonts w:ascii="Arial" w:hAnsi="Arial" w:cs="Arial"/>
          <w:sz w:val="24"/>
          <w:szCs w:val="24"/>
        </w:rPr>
        <w:t>The SORP replaces the profit and loss account (more commonly seen in th</w:t>
      </w:r>
      <w:r w:rsidR="00893557" w:rsidRPr="001B3A1C">
        <w:rPr>
          <w:rFonts w:ascii="Arial" w:hAnsi="Arial" w:cs="Arial"/>
          <w:sz w:val="24"/>
          <w:szCs w:val="24"/>
        </w:rPr>
        <w:t xml:space="preserve">e commercial sector) with the </w:t>
      </w:r>
      <w:proofErr w:type="spellStart"/>
      <w:r w:rsidR="00893557" w:rsidRPr="001B3A1C">
        <w:rPr>
          <w:rFonts w:ascii="Arial" w:hAnsi="Arial" w:cs="Arial"/>
          <w:sz w:val="24"/>
          <w:szCs w:val="24"/>
        </w:rPr>
        <w:t>So</w:t>
      </w:r>
      <w:r w:rsidRPr="001B3A1C">
        <w:rPr>
          <w:rFonts w:ascii="Arial" w:hAnsi="Arial" w:cs="Arial"/>
          <w:sz w:val="24"/>
          <w:szCs w:val="24"/>
        </w:rPr>
        <w:t>FA</w:t>
      </w:r>
      <w:proofErr w:type="spellEnd"/>
      <w:r w:rsidRPr="001B3A1C">
        <w:rPr>
          <w:rFonts w:ascii="Arial" w:hAnsi="Arial" w:cs="Arial"/>
          <w:sz w:val="24"/>
          <w:szCs w:val="24"/>
        </w:rPr>
        <w:t xml:space="preserve">. The intention is to remove the concept of profit as a measure of success or failure, since this is not appropriate for charities. In the SoFA charities should show all incoming and outgoing resources, assets and liabilities belonging to specific funds in the accounts. </w:t>
      </w:r>
    </w:p>
    <w:p w14:paraId="481E6036" w14:textId="77777777" w:rsidR="00893557" w:rsidRPr="001B3A1C" w:rsidRDefault="00893557" w:rsidP="00893557">
      <w:pPr>
        <w:spacing w:after="0" w:line="240" w:lineRule="auto"/>
        <w:jc w:val="both"/>
        <w:rPr>
          <w:rFonts w:ascii="Arial" w:hAnsi="Arial" w:cs="Arial"/>
          <w:sz w:val="24"/>
          <w:szCs w:val="24"/>
        </w:rPr>
      </w:pPr>
    </w:p>
    <w:p w14:paraId="68724AC4" w14:textId="267741A7" w:rsidR="00F67107" w:rsidRPr="001B3A1C" w:rsidRDefault="00F67107" w:rsidP="00893557">
      <w:pPr>
        <w:spacing w:after="0" w:line="240" w:lineRule="auto"/>
        <w:jc w:val="both"/>
        <w:rPr>
          <w:rFonts w:ascii="Arial" w:hAnsi="Arial" w:cs="Arial"/>
          <w:sz w:val="24"/>
          <w:szCs w:val="24"/>
        </w:rPr>
      </w:pPr>
      <w:r w:rsidRPr="001B3A1C">
        <w:rPr>
          <w:rFonts w:ascii="Arial" w:hAnsi="Arial" w:cs="Arial"/>
          <w:sz w:val="24"/>
          <w:szCs w:val="24"/>
        </w:rPr>
        <w:t>The different types of funds are:</w:t>
      </w:r>
    </w:p>
    <w:p w14:paraId="20CF30D5" w14:textId="77777777" w:rsidR="00893557" w:rsidRPr="001B3A1C" w:rsidRDefault="00893557" w:rsidP="00893557">
      <w:pPr>
        <w:spacing w:after="0" w:line="240" w:lineRule="auto"/>
        <w:jc w:val="both"/>
        <w:rPr>
          <w:rFonts w:ascii="Arial" w:hAnsi="Arial" w:cs="Arial"/>
          <w:sz w:val="24"/>
          <w:szCs w:val="24"/>
        </w:rPr>
      </w:pPr>
    </w:p>
    <w:p w14:paraId="03AB3EB6" w14:textId="20B790F8" w:rsidR="00F67107" w:rsidRPr="001B3A1C" w:rsidRDefault="00893557" w:rsidP="00893557">
      <w:pPr>
        <w:pStyle w:val="NoSpacing"/>
        <w:numPr>
          <w:ilvl w:val="0"/>
          <w:numId w:val="4"/>
        </w:numPr>
        <w:ind w:left="1077" w:hanging="510"/>
        <w:jc w:val="both"/>
        <w:rPr>
          <w:rFonts w:ascii="Arial" w:hAnsi="Arial" w:cs="Arial"/>
          <w:sz w:val="24"/>
          <w:szCs w:val="24"/>
        </w:rPr>
      </w:pPr>
      <w:r w:rsidRPr="001B3A1C">
        <w:rPr>
          <w:rFonts w:ascii="Arial" w:hAnsi="Arial" w:cs="Arial"/>
          <w:sz w:val="24"/>
          <w:szCs w:val="24"/>
        </w:rPr>
        <w:t>P</w:t>
      </w:r>
      <w:r w:rsidR="00F67107" w:rsidRPr="001B3A1C">
        <w:rPr>
          <w:rFonts w:ascii="Arial" w:hAnsi="Arial" w:cs="Arial"/>
          <w:sz w:val="24"/>
          <w:szCs w:val="24"/>
        </w:rPr>
        <w:t>ermanent endowment funds</w:t>
      </w:r>
    </w:p>
    <w:p w14:paraId="5B91891C" w14:textId="56418302" w:rsidR="00F67107" w:rsidRPr="001B3A1C" w:rsidRDefault="00893557" w:rsidP="00893557">
      <w:pPr>
        <w:pStyle w:val="NoSpacing"/>
        <w:numPr>
          <w:ilvl w:val="0"/>
          <w:numId w:val="4"/>
        </w:numPr>
        <w:ind w:left="1077" w:hanging="510"/>
        <w:jc w:val="both"/>
        <w:rPr>
          <w:rFonts w:ascii="Arial" w:hAnsi="Arial" w:cs="Arial"/>
          <w:sz w:val="24"/>
          <w:szCs w:val="24"/>
        </w:rPr>
      </w:pPr>
      <w:r w:rsidRPr="001B3A1C">
        <w:rPr>
          <w:rFonts w:ascii="Arial" w:hAnsi="Arial" w:cs="Arial"/>
          <w:sz w:val="24"/>
          <w:szCs w:val="24"/>
        </w:rPr>
        <w:t>E</w:t>
      </w:r>
      <w:r w:rsidR="00F67107" w:rsidRPr="001B3A1C">
        <w:rPr>
          <w:rFonts w:ascii="Arial" w:hAnsi="Arial" w:cs="Arial"/>
          <w:sz w:val="24"/>
          <w:szCs w:val="24"/>
        </w:rPr>
        <w:t>xpendable endowment funds</w:t>
      </w:r>
    </w:p>
    <w:p w14:paraId="7945CB77" w14:textId="592EAC66" w:rsidR="00F67107" w:rsidRPr="001B3A1C" w:rsidRDefault="00893557" w:rsidP="00893557">
      <w:pPr>
        <w:pStyle w:val="NoSpacing"/>
        <w:numPr>
          <w:ilvl w:val="0"/>
          <w:numId w:val="4"/>
        </w:numPr>
        <w:ind w:left="1077" w:hanging="510"/>
        <w:jc w:val="both"/>
        <w:rPr>
          <w:rFonts w:ascii="Arial" w:hAnsi="Arial" w:cs="Arial"/>
          <w:sz w:val="24"/>
          <w:szCs w:val="24"/>
        </w:rPr>
      </w:pPr>
      <w:r w:rsidRPr="001B3A1C">
        <w:rPr>
          <w:rFonts w:ascii="Arial" w:hAnsi="Arial" w:cs="Arial"/>
          <w:sz w:val="24"/>
          <w:szCs w:val="24"/>
        </w:rPr>
        <w:t>R</w:t>
      </w:r>
      <w:r w:rsidR="00F67107" w:rsidRPr="001B3A1C">
        <w:rPr>
          <w:rFonts w:ascii="Arial" w:hAnsi="Arial" w:cs="Arial"/>
          <w:sz w:val="24"/>
          <w:szCs w:val="24"/>
        </w:rPr>
        <w:t>estricted funds</w:t>
      </w:r>
    </w:p>
    <w:p w14:paraId="059B7B56" w14:textId="7A7BF438" w:rsidR="00F67107" w:rsidRPr="001B3A1C" w:rsidRDefault="00893557" w:rsidP="00893557">
      <w:pPr>
        <w:pStyle w:val="ListParagraph"/>
        <w:numPr>
          <w:ilvl w:val="0"/>
          <w:numId w:val="4"/>
        </w:numPr>
        <w:spacing w:after="0" w:line="240" w:lineRule="auto"/>
        <w:ind w:left="1077" w:hanging="510"/>
        <w:jc w:val="both"/>
        <w:rPr>
          <w:rFonts w:ascii="Arial" w:hAnsi="Arial" w:cs="Arial"/>
          <w:sz w:val="24"/>
          <w:szCs w:val="24"/>
        </w:rPr>
      </w:pPr>
      <w:r w:rsidRPr="001B3A1C">
        <w:rPr>
          <w:rFonts w:ascii="Arial" w:hAnsi="Arial" w:cs="Arial"/>
          <w:sz w:val="24"/>
          <w:szCs w:val="24"/>
        </w:rPr>
        <w:t>U</w:t>
      </w:r>
      <w:r w:rsidR="00F67107" w:rsidRPr="001B3A1C">
        <w:rPr>
          <w:rFonts w:ascii="Arial" w:hAnsi="Arial" w:cs="Arial"/>
          <w:sz w:val="24"/>
          <w:szCs w:val="24"/>
        </w:rPr>
        <w:t>nrestricted funds</w:t>
      </w:r>
    </w:p>
    <w:p w14:paraId="38D74352" w14:textId="4B79265E" w:rsidR="00F67107" w:rsidRPr="001B3A1C" w:rsidRDefault="00893557" w:rsidP="00893557">
      <w:pPr>
        <w:pStyle w:val="NoSpacing"/>
        <w:numPr>
          <w:ilvl w:val="0"/>
          <w:numId w:val="4"/>
        </w:numPr>
        <w:ind w:left="1077" w:hanging="510"/>
        <w:jc w:val="both"/>
        <w:rPr>
          <w:rFonts w:ascii="Arial" w:hAnsi="Arial" w:cs="Arial"/>
          <w:sz w:val="24"/>
          <w:szCs w:val="24"/>
        </w:rPr>
      </w:pPr>
      <w:r w:rsidRPr="001B3A1C">
        <w:rPr>
          <w:rFonts w:ascii="Arial" w:hAnsi="Arial" w:cs="Arial"/>
          <w:sz w:val="24"/>
          <w:szCs w:val="24"/>
        </w:rPr>
        <w:t>D</w:t>
      </w:r>
      <w:r w:rsidR="00F67107" w:rsidRPr="001B3A1C">
        <w:rPr>
          <w:rFonts w:ascii="Arial" w:hAnsi="Arial" w:cs="Arial"/>
          <w:sz w:val="24"/>
          <w:szCs w:val="24"/>
        </w:rPr>
        <w:t>esignated funds</w:t>
      </w:r>
    </w:p>
    <w:p w14:paraId="38CDE5D8" w14:textId="0D7CD85F" w:rsidR="00F67107" w:rsidRPr="001B3A1C" w:rsidRDefault="00893557" w:rsidP="00893557">
      <w:pPr>
        <w:pStyle w:val="NoSpacing"/>
        <w:numPr>
          <w:ilvl w:val="0"/>
          <w:numId w:val="4"/>
        </w:numPr>
        <w:ind w:left="1077" w:hanging="510"/>
        <w:jc w:val="both"/>
        <w:rPr>
          <w:rFonts w:ascii="Arial" w:hAnsi="Arial" w:cs="Arial"/>
          <w:sz w:val="24"/>
          <w:szCs w:val="24"/>
        </w:rPr>
      </w:pPr>
      <w:r w:rsidRPr="001B3A1C">
        <w:rPr>
          <w:rFonts w:ascii="Arial" w:hAnsi="Arial" w:cs="Arial"/>
          <w:sz w:val="24"/>
          <w:szCs w:val="24"/>
        </w:rPr>
        <w:t>G</w:t>
      </w:r>
      <w:r w:rsidR="00F67107" w:rsidRPr="001B3A1C">
        <w:rPr>
          <w:rFonts w:ascii="Arial" w:hAnsi="Arial" w:cs="Arial"/>
          <w:sz w:val="24"/>
          <w:szCs w:val="24"/>
        </w:rPr>
        <w:t>eneral funds.</w:t>
      </w:r>
    </w:p>
    <w:p w14:paraId="5FDBCD22" w14:textId="77777777" w:rsidR="0065568B" w:rsidRPr="001B3A1C" w:rsidRDefault="0065568B" w:rsidP="00893557">
      <w:pPr>
        <w:spacing w:after="0" w:line="240" w:lineRule="auto"/>
        <w:jc w:val="both"/>
        <w:rPr>
          <w:rFonts w:ascii="Arial" w:hAnsi="Arial" w:cs="Arial"/>
          <w:sz w:val="24"/>
          <w:szCs w:val="24"/>
        </w:rPr>
      </w:pPr>
    </w:p>
    <w:p w14:paraId="4DF751B4" w14:textId="01F84FF8" w:rsidR="00F67107" w:rsidRPr="001B3A1C" w:rsidRDefault="00F67107" w:rsidP="00893557">
      <w:pPr>
        <w:spacing w:after="0" w:line="240" w:lineRule="auto"/>
        <w:jc w:val="both"/>
        <w:rPr>
          <w:rFonts w:ascii="Arial" w:hAnsi="Arial" w:cs="Arial"/>
          <w:b/>
          <w:sz w:val="24"/>
          <w:szCs w:val="24"/>
        </w:rPr>
      </w:pPr>
      <w:r w:rsidRPr="001B3A1C">
        <w:rPr>
          <w:rFonts w:ascii="Arial" w:hAnsi="Arial" w:cs="Arial"/>
          <w:b/>
          <w:sz w:val="24"/>
          <w:szCs w:val="24"/>
        </w:rPr>
        <w:t>Balance Sheet</w:t>
      </w:r>
    </w:p>
    <w:p w14:paraId="2E207E70" w14:textId="77777777" w:rsidR="00893557" w:rsidRPr="001B3A1C" w:rsidRDefault="00893557" w:rsidP="00893557">
      <w:pPr>
        <w:spacing w:after="0" w:line="240" w:lineRule="auto"/>
        <w:jc w:val="both"/>
        <w:rPr>
          <w:rFonts w:ascii="Arial" w:hAnsi="Arial" w:cs="Arial"/>
          <w:b/>
          <w:sz w:val="24"/>
          <w:szCs w:val="24"/>
        </w:rPr>
      </w:pPr>
    </w:p>
    <w:p w14:paraId="22224358" w14:textId="486F46D4" w:rsidR="00F67107" w:rsidRPr="001B3A1C" w:rsidRDefault="00F67107" w:rsidP="00893557">
      <w:pPr>
        <w:spacing w:after="0" w:line="240" w:lineRule="auto"/>
        <w:jc w:val="both"/>
        <w:rPr>
          <w:rFonts w:ascii="Arial" w:hAnsi="Arial" w:cs="Arial"/>
          <w:sz w:val="24"/>
          <w:szCs w:val="24"/>
        </w:rPr>
      </w:pPr>
      <w:r w:rsidRPr="001B3A1C">
        <w:rPr>
          <w:rFonts w:ascii="Arial" w:hAnsi="Arial" w:cs="Arial"/>
          <w:sz w:val="24"/>
          <w:szCs w:val="24"/>
        </w:rPr>
        <w:t xml:space="preserve">All charities preparing accruals accounts must prepare a balance sheet at the end of each reporting period. The balance sheet provides a snapshot statement of a charity’s assets and liabilities and how these are represented by the different classes of funds held by a charity. The objective of the balance sheet is to show the resources available to the charity and whether these are available for all purposes of the charity or </w:t>
      </w:r>
      <w:proofErr w:type="gramStart"/>
      <w:r w:rsidRPr="001B3A1C">
        <w:rPr>
          <w:rFonts w:ascii="Arial" w:hAnsi="Arial" w:cs="Arial"/>
          <w:sz w:val="24"/>
          <w:szCs w:val="24"/>
        </w:rPr>
        <w:t>have to</w:t>
      </w:r>
      <w:proofErr w:type="gramEnd"/>
      <w:r w:rsidRPr="001B3A1C">
        <w:rPr>
          <w:rFonts w:ascii="Arial" w:hAnsi="Arial" w:cs="Arial"/>
          <w:sz w:val="24"/>
          <w:szCs w:val="24"/>
        </w:rPr>
        <w:t xml:space="preserve"> be used for specific purposes because of legal restrictions placed on their use.</w:t>
      </w:r>
    </w:p>
    <w:p w14:paraId="6FFD05BC" w14:textId="77777777" w:rsidR="00893557" w:rsidRPr="001B3A1C" w:rsidRDefault="00893557" w:rsidP="00893557">
      <w:pPr>
        <w:spacing w:after="0" w:line="240" w:lineRule="auto"/>
        <w:jc w:val="both"/>
        <w:rPr>
          <w:rFonts w:ascii="Arial" w:hAnsi="Arial" w:cs="Arial"/>
          <w:sz w:val="24"/>
          <w:szCs w:val="24"/>
        </w:rPr>
      </w:pPr>
    </w:p>
    <w:p w14:paraId="64270FF5" w14:textId="745B3496" w:rsidR="00F67107" w:rsidRPr="001B3A1C" w:rsidRDefault="00F67107" w:rsidP="00893557">
      <w:pPr>
        <w:jc w:val="both"/>
        <w:rPr>
          <w:rFonts w:ascii="Arial" w:hAnsi="Arial" w:cs="Arial"/>
          <w:b/>
          <w:sz w:val="24"/>
          <w:szCs w:val="24"/>
        </w:rPr>
      </w:pPr>
      <w:r w:rsidRPr="001B3A1C">
        <w:rPr>
          <w:rFonts w:ascii="Arial" w:hAnsi="Arial" w:cs="Arial"/>
          <w:b/>
          <w:sz w:val="24"/>
          <w:szCs w:val="24"/>
        </w:rPr>
        <w:t>Cash Flow Statement</w:t>
      </w:r>
    </w:p>
    <w:p w14:paraId="060F104F" w14:textId="5A2DB28A" w:rsidR="00F67107" w:rsidRPr="001B3A1C" w:rsidRDefault="00F67107" w:rsidP="00893557">
      <w:pPr>
        <w:jc w:val="both"/>
        <w:rPr>
          <w:rFonts w:ascii="Arial" w:hAnsi="Arial" w:cs="Arial"/>
          <w:sz w:val="24"/>
          <w:szCs w:val="24"/>
        </w:rPr>
      </w:pPr>
      <w:r w:rsidRPr="001B3A1C">
        <w:rPr>
          <w:rFonts w:ascii="Arial" w:hAnsi="Arial" w:cs="Arial"/>
          <w:sz w:val="24"/>
          <w:szCs w:val="24"/>
        </w:rPr>
        <w:t xml:space="preserve">The cash flow statement provides information about the ways in which a charity uses the cash generated by its activities and about changes in cash held by a charity. The statement identifies a charity’s cash flows and the net increase or decrease in cash in the financial year. It also provides information that is helpful in assessing a charity’s liquidity and underlying solvency. ‘Liquidity’ refers to the ability to meet its immediate and </w:t>
      </w:r>
      <w:r w:rsidR="00893557" w:rsidRPr="001B3A1C">
        <w:rPr>
          <w:rFonts w:ascii="Arial" w:hAnsi="Arial" w:cs="Arial"/>
          <w:sz w:val="24"/>
          <w:szCs w:val="24"/>
        </w:rPr>
        <w:t>short-term</w:t>
      </w:r>
      <w:r w:rsidRPr="001B3A1C">
        <w:rPr>
          <w:rFonts w:ascii="Arial" w:hAnsi="Arial" w:cs="Arial"/>
          <w:sz w:val="24"/>
          <w:szCs w:val="24"/>
        </w:rPr>
        <w:t xml:space="preserve"> obligations as they fall due. ‘Solvency’ refers to the ability of a charity to meet its longer-term obligations as they fall due.  </w:t>
      </w:r>
    </w:p>
    <w:p w14:paraId="6AA6E4CA" w14:textId="250837D0" w:rsidR="00F67107" w:rsidRPr="001B3A1C" w:rsidRDefault="00F67107" w:rsidP="00893557">
      <w:pPr>
        <w:spacing w:after="0" w:line="240" w:lineRule="auto"/>
        <w:jc w:val="both"/>
        <w:rPr>
          <w:rFonts w:ascii="Arial" w:hAnsi="Arial" w:cs="Arial"/>
          <w:b/>
          <w:sz w:val="24"/>
          <w:szCs w:val="24"/>
        </w:rPr>
      </w:pPr>
      <w:r w:rsidRPr="001B3A1C">
        <w:rPr>
          <w:rFonts w:ascii="Arial" w:hAnsi="Arial" w:cs="Arial"/>
          <w:b/>
          <w:sz w:val="24"/>
          <w:szCs w:val="24"/>
        </w:rPr>
        <w:lastRenderedPageBreak/>
        <w:t>Notes to the Accounts</w:t>
      </w:r>
    </w:p>
    <w:p w14:paraId="4751EC3F" w14:textId="77777777" w:rsidR="00893557" w:rsidRPr="001B3A1C" w:rsidRDefault="00893557" w:rsidP="00893557">
      <w:pPr>
        <w:spacing w:after="0" w:line="240" w:lineRule="auto"/>
        <w:jc w:val="both"/>
        <w:rPr>
          <w:rFonts w:ascii="Arial" w:hAnsi="Arial" w:cs="Arial"/>
          <w:b/>
          <w:sz w:val="24"/>
          <w:szCs w:val="24"/>
        </w:rPr>
      </w:pPr>
    </w:p>
    <w:p w14:paraId="18C529D5" w14:textId="0C5A4FF4" w:rsidR="00F67107" w:rsidRPr="001B3A1C" w:rsidRDefault="00F67107" w:rsidP="00893557">
      <w:pPr>
        <w:spacing w:after="0" w:line="240" w:lineRule="auto"/>
        <w:jc w:val="both"/>
        <w:rPr>
          <w:rFonts w:ascii="Arial" w:hAnsi="Arial" w:cs="Arial"/>
          <w:sz w:val="24"/>
          <w:szCs w:val="24"/>
        </w:rPr>
      </w:pPr>
      <w:r w:rsidRPr="001B3A1C">
        <w:rPr>
          <w:rFonts w:ascii="Arial" w:hAnsi="Arial" w:cs="Arial"/>
          <w:sz w:val="24"/>
          <w:szCs w:val="24"/>
        </w:rPr>
        <w:t>In addition to the notes that provide additional analysis of the numbers presented in the SoFA and balance sheet, the SORP 2015 requires charities to provide additional narrative disclosure to help the readers of the accounts have a better understanding of the organisation. This includes details of transactions with related organisations and other stakeholders such as trustees and employees.</w:t>
      </w:r>
    </w:p>
    <w:p w14:paraId="7FBA03C7" w14:textId="77777777" w:rsidR="00893557" w:rsidRPr="001B3A1C" w:rsidRDefault="00893557" w:rsidP="00893557">
      <w:pPr>
        <w:spacing w:after="0" w:line="240" w:lineRule="auto"/>
        <w:jc w:val="both"/>
        <w:rPr>
          <w:rFonts w:ascii="Arial" w:hAnsi="Arial" w:cs="Arial"/>
          <w:sz w:val="24"/>
          <w:szCs w:val="24"/>
        </w:rPr>
      </w:pPr>
    </w:p>
    <w:p w14:paraId="7179C1D4" w14:textId="00245F26" w:rsidR="00EB1AD9" w:rsidRPr="001B3A1C" w:rsidRDefault="00EB1AD9" w:rsidP="00EB1AD9">
      <w:pPr>
        <w:pStyle w:val="NoSpacing"/>
        <w:jc w:val="both"/>
        <w:rPr>
          <w:rFonts w:ascii="Arial" w:hAnsi="Arial" w:cs="Arial"/>
          <w:b/>
          <w:sz w:val="24"/>
          <w:szCs w:val="24"/>
        </w:rPr>
      </w:pPr>
      <w:r w:rsidRPr="001B3A1C">
        <w:rPr>
          <w:rFonts w:ascii="Arial" w:hAnsi="Arial" w:cs="Arial"/>
          <w:b/>
          <w:sz w:val="24"/>
          <w:szCs w:val="24"/>
        </w:rPr>
        <w:t>Information (Links)</w:t>
      </w:r>
    </w:p>
    <w:p w14:paraId="185C2ABC" w14:textId="520B9F6A" w:rsidR="00EB1AD9" w:rsidRPr="001B3A1C" w:rsidRDefault="00EB1AD9" w:rsidP="00EB1AD9">
      <w:pPr>
        <w:pStyle w:val="NoSpacing"/>
        <w:jc w:val="both"/>
        <w:rPr>
          <w:rFonts w:ascii="Arial" w:hAnsi="Arial" w:cs="Arial"/>
          <w:b/>
          <w:sz w:val="24"/>
          <w:szCs w:val="24"/>
        </w:rPr>
      </w:pPr>
    </w:p>
    <w:p w14:paraId="22EF820C" w14:textId="56923818" w:rsidR="00893557" w:rsidRPr="001B3A1C" w:rsidRDefault="00893557" w:rsidP="00EB1AD9">
      <w:pPr>
        <w:pStyle w:val="NoSpacing"/>
        <w:jc w:val="both"/>
        <w:rPr>
          <w:rFonts w:ascii="Arial" w:hAnsi="Arial" w:cs="Arial"/>
          <w:sz w:val="24"/>
          <w:szCs w:val="24"/>
        </w:rPr>
      </w:pPr>
      <w:r w:rsidRPr="001B3A1C">
        <w:rPr>
          <w:rFonts w:ascii="Arial" w:hAnsi="Arial" w:cs="Arial"/>
          <w:sz w:val="24"/>
          <w:szCs w:val="24"/>
        </w:rPr>
        <w:t>To find out additional information on Charity Accounting and Reporting or Charities SORP please check out these useful links to other resources.</w:t>
      </w:r>
    </w:p>
    <w:p w14:paraId="69944C5C" w14:textId="77777777" w:rsidR="00893557" w:rsidRPr="001B3A1C" w:rsidRDefault="00893557" w:rsidP="00EB1AD9">
      <w:pPr>
        <w:pStyle w:val="NoSpacing"/>
        <w:jc w:val="both"/>
        <w:rPr>
          <w:rFonts w:ascii="Arial" w:hAnsi="Arial" w:cs="Arial"/>
          <w:b/>
          <w:sz w:val="24"/>
          <w:szCs w:val="24"/>
        </w:rPr>
      </w:pPr>
    </w:p>
    <w:p w14:paraId="382D889C" w14:textId="77777777" w:rsidR="00F67107" w:rsidRPr="001B3A1C" w:rsidRDefault="00F67107" w:rsidP="00893557">
      <w:pPr>
        <w:pStyle w:val="NoSpacing"/>
        <w:numPr>
          <w:ilvl w:val="0"/>
          <w:numId w:val="6"/>
        </w:numPr>
        <w:rPr>
          <w:rFonts w:ascii="Arial" w:hAnsi="Arial" w:cs="Arial"/>
          <w:sz w:val="24"/>
          <w:szCs w:val="24"/>
        </w:rPr>
      </w:pPr>
      <w:r w:rsidRPr="001B3A1C">
        <w:rPr>
          <w:rFonts w:ascii="Arial" w:hAnsi="Arial" w:cs="Arial"/>
          <w:sz w:val="24"/>
          <w:szCs w:val="24"/>
        </w:rPr>
        <w:t>Charity accounting and reporting: the essentials March 2015 (CC15c) - Charity Commission Guidance</w:t>
      </w:r>
    </w:p>
    <w:p w14:paraId="45DEA13D" w14:textId="77777777" w:rsidR="00F67107" w:rsidRPr="001B3A1C" w:rsidRDefault="00F67107" w:rsidP="00893557">
      <w:pPr>
        <w:pStyle w:val="NoSpacing"/>
        <w:numPr>
          <w:ilvl w:val="0"/>
          <w:numId w:val="6"/>
        </w:numPr>
        <w:rPr>
          <w:rFonts w:ascii="Arial" w:hAnsi="Arial" w:cs="Arial"/>
          <w:sz w:val="24"/>
          <w:szCs w:val="24"/>
        </w:rPr>
      </w:pPr>
      <w:r w:rsidRPr="001B3A1C">
        <w:rPr>
          <w:rFonts w:ascii="Arial" w:hAnsi="Arial" w:cs="Arial"/>
          <w:sz w:val="24"/>
          <w:szCs w:val="24"/>
        </w:rPr>
        <w:t>Charities SORP website - Application guidance for charity accounting</w:t>
      </w:r>
    </w:p>
    <w:p w14:paraId="08DC6F77" w14:textId="77777777" w:rsidR="00F67107" w:rsidRPr="001B3A1C" w:rsidRDefault="00F67107" w:rsidP="00893557">
      <w:pPr>
        <w:pStyle w:val="NoSpacing"/>
        <w:numPr>
          <w:ilvl w:val="0"/>
          <w:numId w:val="6"/>
        </w:numPr>
        <w:rPr>
          <w:rFonts w:ascii="Arial" w:hAnsi="Arial" w:cs="Arial"/>
          <w:sz w:val="24"/>
          <w:szCs w:val="24"/>
        </w:rPr>
      </w:pPr>
      <w:r w:rsidRPr="001B3A1C">
        <w:rPr>
          <w:rFonts w:ascii="Arial" w:hAnsi="Arial" w:cs="Arial"/>
          <w:sz w:val="24"/>
          <w:szCs w:val="24"/>
        </w:rPr>
        <w:t>Sayer Vincent’s Made Simple series of finance guides has one on SORP 2015</w:t>
      </w:r>
    </w:p>
    <w:p w14:paraId="08E45C91" w14:textId="0BACD497" w:rsidR="005B1828" w:rsidRPr="001B3A1C" w:rsidRDefault="00F67107" w:rsidP="00893557">
      <w:pPr>
        <w:pStyle w:val="NoSpacing"/>
        <w:numPr>
          <w:ilvl w:val="0"/>
          <w:numId w:val="6"/>
        </w:numPr>
        <w:rPr>
          <w:rFonts w:ascii="Arial" w:hAnsi="Arial" w:cs="Arial"/>
          <w:sz w:val="24"/>
          <w:szCs w:val="24"/>
        </w:rPr>
      </w:pPr>
      <w:r w:rsidRPr="001B3A1C">
        <w:rPr>
          <w:rFonts w:ascii="Arial" w:hAnsi="Arial" w:cs="Arial"/>
          <w:sz w:val="24"/>
          <w:szCs w:val="24"/>
        </w:rPr>
        <w:t>Crowe Clark Whitehill’s Charities SORP FRS 102 – Reporting Checklist</w:t>
      </w:r>
    </w:p>
    <w:sectPr w:rsidR="005B1828" w:rsidRPr="001B3A1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8899" w14:textId="77777777" w:rsidR="00076595" w:rsidRDefault="00076595" w:rsidP="00076595">
      <w:pPr>
        <w:spacing w:after="0" w:line="240" w:lineRule="auto"/>
      </w:pPr>
      <w:r>
        <w:separator/>
      </w:r>
    </w:p>
  </w:endnote>
  <w:endnote w:type="continuationSeparator" w:id="0">
    <w:p w14:paraId="0D8C14B2" w14:textId="77777777" w:rsidR="00076595" w:rsidRDefault="00076595" w:rsidP="0007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891766"/>
      <w:docPartObj>
        <w:docPartGallery w:val="Page Numbers (Bottom of Page)"/>
        <w:docPartUnique/>
      </w:docPartObj>
    </w:sdtPr>
    <w:sdtEndPr>
      <w:rPr>
        <w:noProof/>
      </w:rPr>
    </w:sdtEndPr>
    <w:sdtContent>
      <w:p w14:paraId="372B8B2F" w14:textId="5A0FEB9A" w:rsidR="00131860" w:rsidRDefault="00F167BC">
        <w:pPr>
          <w:pStyle w:val="Footer"/>
          <w:jc w:val="center"/>
        </w:pPr>
        <w:r>
          <w:rPr>
            <w:noProof/>
          </w:rPr>
          <w:drawing>
            <wp:anchor distT="0" distB="0" distL="114300" distR="114300" simplePos="0" relativeHeight="251660288" behindDoc="1" locked="0" layoutInCell="1" allowOverlap="1" wp14:anchorId="2FCE6882" wp14:editId="05EF985F">
              <wp:simplePos x="0" y="0"/>
              <wp:positionH relativeFrom="column">
                <wp:posOffset>5600065</wp:posOffset>
              </wp:positionH>
              <wp:positionV relativeFrom="paragraph">
                <wp:posOffset>-114935</wp:posOffset>
              </wp:positionV>
              <wp:extent cx="561975" cy="7863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Bridge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561975" cy="7863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E2CE0AF" wp14:editId="4B390477">
              <wp:simplePos x="0" y="0"/>
              <wp:positionH relativeFrom="column">
                <wp:posOffset>4391025</wp:posOffset>
              </wp:positionH>
              <wp:positionV relativeFrom="paragraph">
                <wp:posOffset>-45085</wp:posOffset>
              </wp:positionV>
              <wp:extent cx="1057275" cy="79295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logo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057275" cy="792956"/>
                      </a:xfrm>
                      <a:prstGeom prst="rect">
                        <a:avLst/>
                      </a:prstGeom>
                    </pic:spPr>
                  </pic:pic>
                </a:graphicData>
              </a:graphic>
              <wp14:sizeRelH relativeFrom="margin">
                <wp14:pctWidth>0</wp14:pctWidth>
              </wp14:sizeRelH>
              <wp14:sizeRelV relativeFrom="margin">
                <wp14:pctHeight>0</wp14:pctHeight>
              </wp14:sizeRelV>
            </wp:anchor>
          </w:drawing>
        </w:r>
        <w:r w:rsidR="00131860">
          <w:fldChar w:fldCharType="begin"/>
        </w:r>
        <w:r w:rsidR="00131860">
          <w:instrText xml:space="preserve"> PAGE   \* MERGEFORMAT </w:instrText>
        </w:r>
        <w:r w:rsidR="00131860">
          <w:fldChar w:fldCharType="separate"/>
        </w:r>
        <w:r w:rsidR="00893557">
          <w:rPr>
            <w:noProof/>
          </w:rPr>
          <w:t>3</w:t>
        </w:r>
        <w:r w:rsidR="00131860">
          <w:rPr>
            <w:noProof/>
          </w:rPr>
          <w:fldChar w:fldCharType="end"/>
        </w:r>
      </w:p>
    </w:sdtContent>
  </w:sdt>
  <w:p w14:paraId="31D3938D" w14:textId="164BA4DC" w:rsidR="00960427" w:rsidRDefault="00FE23F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187F" w14:textId="77777777" w:rsidR="00076595" w:rsidRDefault="00076595" w:rsidP="00076595">
      <w:pPr>
        <w:spacing w:after="0" w:line="240" w:lineRule="auto"/>
      </w:pPr>
      <w:r>
        <w:separator/>
      </w:r>
    </w:p>
  </w:footnote>
  <w:footnote w:type="continuationSeparator" w:id="0">
    <w:p w14:paraId="060F7BD4" w14:textId="77777777" w:rsidR="00076595" w:rsidRDefault="00076595" w:rsidP="0007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8692" w14:textId="0DC84477" w:rsidR="00076595" w:rsidRDefault="00F167BC" w:rsidP="00960427">
    <w:pPr>
      <w:pStyle w:val="Header"/>
      <w:jc w:val="center"/>
    </w:pPr>
    <w:r>
      <w:rPr>
        <w:noProof/>
      </w:rPr>
      <w:drawing>
        <wp:anchor distT="0" distB="0" distL="114300" distR="114300" simplePos="0" relativeHeight="251658240" behindDoc="1" locked="0" layoutInCell="1" allowOverlap="1" wp14:anchorId="56F739B5" wp14:editId="77DE76B5">
          <wp:simplePos x="0" y="0"/>
          <wp:positionH relativeFrom="margin">
            <wp:align>center</wp:align>
          </wp:positionH>
          <wp:positionV relativeFrom="paragraph">
            <wp:posOffset>-1478280</wp:posOffset>
          </wp:positionV>
          <wp:extent cx="3667125" cy="2933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667125" cy="29337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1B7"/>
    <w:multiLevelType w:val="hybridMultilevel"/>
    <w:tmpl w:val="794491D2"/>
    <w:lvl w:ilvl="0" w:tplc="5EBCCB0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0C5"/>
    <w:multiLevelType w:val="hybridMultilevel"/>
    <w:tmpl w:val="23642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667E2"/>
    <w:multiLevelType w:val="hybridMultilevel"/>
    <w:tmpl w:val="335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954B2"/>
    <w:multiLevelType w:val="hybridMultilevel"/>
    <w:tmpl w:val="E3FE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747D8"/>
    <w:multiLevelType w:val="hybridMultilevel"/>
    <w:tmpl w:val="DAA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40458"/>
    <w:multiLevelType w:val="hybridMultilevel"/>
    <w:tmpl w:val="DA20882C"/>
    <w:lvl w:ilvl="0" w:tplc="5EBCCB0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77"/>
    <w:rsid w:val="000661E2"/>
    <w:rsid w:val="00076595"/>
    <w:rsid w:val="00131860"/>
    <w:rsid w:val="001B3A1C"/>
    <w:rsid w:val="00364065"/>
    <w:rsid w:val="004407F5"/>
    <w:rsid w:val="00462F9D"/>
    <w:rsid w:val="00592F77"/>
    <w:rsid w:val="005B1828"/>
    <w:rsid w:val="0065568B"/>
    <w:rsid w:val="007005C5"/>
    <w:rsid w:val="00893557"/>
    <w:rsid w:val="00960427"/>
    <w:rsid w:val="00A15EA9"/>
    <w:rsid w:val="00AA401F"/>
    <w:rsid w:val="00C22A07"/>
    <w:rsid w:val="00EB1AD9"/>
    <w:rsid w:val="00F167BC"/>
    <w:rsid w:val="00F67107"/>
    <w:rsid w:val="00FE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531DB"/>
  <w15:chartTrackingRefBased/>
  <w15:docId w15:val="{0CE7DCAD-B101-42EC-AB6F-D3B986A5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A1C"/>
  </w:style>
  <w:style w:type="paragraph" w:styleId="Heading1">
    <w:name w:val="heading 1"/>
    <w:basedOn w:val="Normal"/>
    <w:next w:val="Normal"/>
    <w:link w:val="Heading1Char"/>
    <w:uiPriority w:val="9"/>
    <w:qFormat/>
    <w:rsid w:val="001B3A1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3A1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3A1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B3A1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B3A1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B3A1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B3A1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B3A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3A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1C"/>
    <w:pPr>
      <w:spacing w:after="0" w:line="240" w:lineRule="auto"/>
    </w:pPr>
  </w:style>
  <w:style w:type="paragraph" w:styleId="BalloonText">
    <w:name w:val="Balloon Text"/>
    <w:basedOn w:val="Normal"/>
    <w:link w:val="BalloonTextChar"/>
    <w:uiPriority w:val="99"/>
    <w:semiHidden/>
    <w:unhideWhenUsed/>
    <w:rsid w:val="00AA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1F"/>
    <w:rPr>
      <w:rFonts w:ascii="Segoe UI" w:hAnsi="Segoe UI" w:cs="Segoe UI"/>
      <w:sz w:val="18"/>
      <w:szCs w:val="18"/>
    </w:rPr>
  </w:style>
  <w:style w:type="paragraph" w:styleId="Header">
    <w:name w:val="header"/>
    <w:basedOn w:val="Normal"/>
    <w:link w:val="HeaderChar"/>
    <w:uiPriority w:val="99"/>
    <w:unhideWhenUsed/>
    <w:rsid w:val="0007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95"/>
  </w:style>
  <w:style w:type="paragraph" w:styleId="Footer">
    <w:name w:val="footer"/>
    <w:basedOn w:val="Normal"/>
    <w:link w:val="FooterChar"/>
    <w:uiPriority w:val="99"/>
    <w:unhideWhenUsed/>
    <w:rsid w:val="0007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95"/>
  </w:style>
  <w:style w:type="paragraph" w:styleId="ListParagraph">
    <w:name w:val="List Paragraph"/>
    <w:basedOn w:val="Normal"/>
    <w:uiPriority w:val="34"/>
    <w:qFormat/>
    <w:rsid w:val="00893557"/>
    <w:pPr>
      <w:ind w:left="720"/>
      <w:contextualSpacing/>
    </w:pPr>
  </w:style>
  <w:style w:type="character" w:customStyle="1" w:styleId="Heading1Char">
    <w:name w:val="Heading 1 Char"/>
    <w:basedOn w:val="DefaultParagraphFont"/>
    <w:link w:val="Heading1"/>
    <w:uiPriority w:val="9"/>
    <w:rsid w:val="001B3A1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B3A1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B3A1C"/>
    <w:rPr>
      <w:caps/>
      <w:color w:val="1F3763" w:themeColor="accent1" w:themeShade="7F"/>
      <w:spacing w:val="15"/>
    </w:rPr>
  </w:style>
  <w:style w:type="character" w:customStyle="1" w:styleId="Heading4Char">
    <w:name w:val="Heading 4 Char"/>
    <w:basedOn w:val="DefaultParagraphFont"/>
    <w:link w:val="Heading4"/>
    <w:uiPriority w:val="9"/>
    <w:semiHidden/>
    <w:rsid w:val="001B3A1C"/>
    <w:rPr>
      <w:caps/>
      <w:color w:val="2F5496" w:themeColor="accent1" w:themeShade="BF"/>
      <w:spacing w:val="10"/>
    </w:rPr>
  </w:style>
  <w:style w:type="character" w:customStyle="1" w:styleId="Heading5Char">
    <w:name w:val="Heading 5 Char"/>
    <w:basedOn w:val="DefaultParagraphFont"/>
    <w:link w:val="Heading5"/>
    <w:uiPriority w:val="9"/>
    <w:semiHidden/>
    <w:rsid w:val="001B3A1C"/>
    <w:rPr>
      <w:caps/>
      <w:color w:val="2F5496" w:themeColor="accent1" w:themeShade="BF"/>
      <w:spacing w:val="10"/>
    </w:rPr>
  </w:style>
  <w:style w:type="character" w:customStyle="1" w:styleId="Heading6Char">
    <w:name w:val="Heading 6 Char"/>
    <w:basedOn w:val="DefaultParagraphFont"/>
    <w:link w:val="Heading6"/>
    <w:uiPriority w:val="9"/>
    <w:semiHidden/>
    <w:rsid w:val="001B3A1C"/>
    <w:rPr>
      <w:caps/>
      <w:color w:val="2F5496" w:themeColor="accent1" w:themeShade="BF"/>
      <w:spacing w:val="10"/>
    </w:rPr>
  </w:style>
  <w:style w:type="character" w:customStyle="1" w:styleId="Heading7Char">
    <w:name w:val="Heading 7 Char"/>
    <w:basedOn w:val="DefaultParagraphFont"/>
    <w:link w:val="Heading7"/>
    <w:uiPriority w:val="9"/>
    <w:semiHidden/>
    <w:rsid w:val="001B3A1C"/>
    <w:rPr>
      <w:caps/>
      <w:color w:val="2F5496" w:themeColor="accent1" w:themeShade="BF"/>
      <w:spacing w:val="10"/>
    </w:rPr>
  </w:style>
  <w:style w:type="character" w:customStyle="1" w:styleId="Heading8Char">
    <w:name w:val="Heading 8 Char"/>
    <w:basedOn w:val="DefaultParagraphFont"/>
    <w:link w:val="Heading8"/>
    <w:uiPriority w:val="9"/>
    <w:semiHidden/>
    <w:rsid w:val="001B3A1C"/>
    <w:rPr>
      <w:caps/>
      <w:spacing w:val="10"/>
      <w:sz w:val="18"/>
      <w:szCs w:val="18"/>
    </w:rPr>
  </w:style>
  <w:style w:type="character" w:customStyle="1" w:styleId="Heading9Char">
    <w:name w:val="Heading 9 Char"/>
    <w:basedOn w:val="DefaultParagraphFont"/>
    <w:link w:val="Heading9"/>
    <w:uiPriority w:val="9"/>
    <w:semiHidden/>
    <w:rsid w:val="001B3A1C"/>
    <w:rPr>
      <w:i/>
      <w:iCs/>
      <w:caps/>
      <w:spacing w:val="10"/>
      <w:sz w:val="18"/>
      <w:szCs w:val="18"/>
    </w:rPr>
  </w:style>
  <w:style w:type="paragraph" w:styleId="Caption">
    <w:name w:val="caption"/>
    <w:basedOn w:val="Normal"/>
    <w:next w:val="Normal"/>
    <w:uiPriority w:val="35"/>
    <w:semiHidden/>
    <w:unhideWhenUsed/>
    <w:qFormat/>
    <w:rsid w:val="001B3A1C"/>
    <w:rPr>
      <w:b/>
      <w:bCs/>
      <w:color w:val="2F5496" w:themeColor="accent1" w:themeShade="BF"/>
      <w:sz w:val="16"/>
      <w:szCs w:val="16"/>
    </w:rPr>
  </w:style>
  <w:style w:type="paragraph" w:styleId="Title">
    <w:name w:val="Title"/>
    <w:basedOn w:val="Normal"/>
    <w:next w:val="Normal"/>
    <w:link w:val="TitleChar"/>
    <w:uiPriority w:val="10"/>
    <w:qFormat/>
    <w:rsid w:val="001B3A1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B3A1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B3A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3A1C"/>
    <w:rPr>
      <w:caps/>
      <w:color w:val="595959" w:themeColor="text1" w:themeTint="A6"/>
      <w:spacing w:val="10"/>
      <w:sz w:val="21"/>
      <w:szCs w:val="21"/>
    </w:rPr>
  </w:style>
  <w:style w:type="character" w:styleId="Strong">
    <w:name w:val="Strong"/>
    <w:uiPriority w:val="22"/>
    <w:qFormat/>
    <w:rsid w:val="001B3A1C"/>
    <w:rPr>
      <w:b/>
      <w:bCs/>
    </w:rPr>
  </w:style>
  <w:style w:type="character" w:styleId="Emphasis">
    <w:name w:val="Emphasis"/>
    <w:uiPriority w:val="20"/>
    <w:qFormat/>
    <w:rsid w:val="001B3A1C"/>
    <w:rPr>
      <w:caps/>
      <w:color w:val="1F3763" w:themeColor="accent1" w:themeShade="7F"/>
      <w:spacing w:val="5"/>
    </w:rPr>
  </w:style>
  <w:style w:type="paragraph" w:styleId="Quote">
    <w:name w:val="Quote"/>
    <w:basedOn w:val="Normal"/>
    <w:next w:val="Normal"/>
    <w:link w:val="QuoteChar"/>
    <w:uiPriority w:val="29"/>
    <w:qFormat/>
    <w:rsid w:val="001B3A1C"/>
    <w:rPr>
      <w:i/>
      <w:iCs/>
      <w:sz w:val="24"/>
      <w:szCs w:val="24"/>
    </w:rPr>
  </w:style>
  <w:style w:type="character" w:customStyle="1" w:styleId="QuoteChar">
    <w:name w:val="Quote Char"/>
    <w:basedOn w:val="DefaultParagraphFont"/>
    <w:link w:val="Quote"/>
    <w:uiPriority w:val="29"/>
    <w:rsid w:val="001B3A1C"/>
    <w:rPr>
      <w:i/>
      <w:iCs/>
      <w:sz w:val="24"/>
      <w:szCs w:val="24"/>
    </w:rPr>
  </w:style>
  <w:style w:type="paragraph" w:styleId="IntenseQuote">
    <w:name w:val="Intense Quote"/>
    <w:basedOn w:val="Normal"/>
    <w:next w:val="Normal"/>
    <w:link w:val="IntenseQuoteChar"/>
    <w:uiPriority w:val="30"/>
    <w:qFormat/>
    <w:rsid w:val="001B3A1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B3A1C"/>
    <w:rPr>
      <w:color w:val="4472C4" w:themeColor="accent1"/>
      <w:sz w:val="24"/>
      <w:szCs w:val="24"/>
    </w:rPr>
  </w:style>
  <w:style w:type="character" w:styleId="SubtleEmphasis">
    <w:name w:val="Subtle Emphasis"/>
    <w:uiPriority w:val="19"/>
    <w:qFormat/>
    <w:rsid w:val="001B3A1C"/>
    <w:rPr>
      <w:i/>
      <w:iCs/>
      <w:color w:val="1F3763" w:themeColor="accent1" w:themeShade="7F"/>
    </w:rPr>
  </w:style>
  <w:style w:type="character" w:styleId="IntenseEmphasis">
    <w:name w:val="Intense Emphasis"/>
    <w:uiPriority w:val="21"/>
    <w:qFormat/>
    <w:rsid w:val="001B3A1C"/>
    <w:rPr>
      <w:b/>
      <w:bCs/>
      <w:caps/>
      <w:color w:val="1F3763" w:themeColor="accent1" w:themeShade="7F"/>
      <w:spacing w:val="10"/>
    </w:rPr>
  </w:style>
  <w:style w:type="character" w:styleId="SubtleReference">
    <w:name w:val="Subtle Reference"/>
    <w:uiPriority w:val="31"/>
    <w:qFormat/>
    <w:rsid w:val="001B3A1C"/>
    <w:rPr>
      <w:b/>
      <w:bCs/>
      <w:color w:val="4472C4" w:themeColor="accent1"/>
    </w:rPr>
  </w:style>
  <w:style w:type="character" w:styleId="IntenseReference">
    <w:name w:val="Intense Reference"/>
    <w:uiPriority w:val="32"/>
    <w:qFormat/>
    <w:rsid w:val="001B3A1C"/>
    <w:rPr>
      <w:b/>
      <w:bCs/>
      <w:i/>
      <w:iCs/>
      <w:caps/>
      <w:color w:val="4472C4" w:themeColor="accent1"/>
    </w:rPr>
  </w:style>
  <w:style w:type="character" w:styleId="BookTitle">
    <w:name w:val="Book Title"/>
    <w:uiPriority w:val="33"/>
    <w:qFormat/>
    <w:rsid w:val="001B3A1C"/>
    <w:rPr>
      <w:b/>
      <w:bCs/>
      <w:i/>
      <w:iCs/>
      <w:spacing w:val="0"/>
    </w:rPr>
  </w:style>
  <w:style w:type="paragraph" w:styleId="TOCHeading">
    <w:name w:val="TOC Heading"/>
    <w:basedOn w:val="Heading1"/>
    <w:next w:val="Normal"/>
    <w:uiPriority w:val="39"/>
    <w:semiHidden/>
    <w:unhideWhenUsed/>
    <w:qFormat/>
    <w:rsid w:val="001B3A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7E87B-5673-4921-9205-B386E1C669D9}">
  <ds:schemaRefs>
    <ds:schemaRef ds:uri="e2b0a9e1-f91b-4965-86cf-da3b2921bf71"/>
    <ds:schemaRef ds:uri="http://schemas.microsoft.com/office/2006/documentManagement/types"/>
    <ds:schemaRef ds:uri="http://purl.org/dc/elements/1.1/"/>
    <ds:schemaRef ds:uri="http://schemas.microsoft.com/office/2006/metadata/properties"/>
    <ds:schemaRef ds:uri="9b4146d4-c854-40ec-9134-e682f9c762a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EC61AE-794F-48EF-A60A-473AAD22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30F3A-D203-4BE6-9756-E951F74B7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Understanding Regulatory Framework</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Regulatory Framework</dc:title>
  <dc:subject/>
  <dc:creator>Mustafa Arrale</dc:creator>
  <cp:keywords>Fitter Finances programme</cp:keywords>
  <dc:description/>
  <cp:lastModifiedBy>Nazia Sultana</cp:lastModifiedBy>
  <cp:revision>2</cp:revision>
  <cp:lastPrinted>2018-01-18T10:22:00Z</cp:lastPrinted>
  <dcterms:created xsi:type="dcterms:W3CDTF">2018-07-27T09:37:00Z</dcterms:created>
  <dcterms:modified xsi:type="dcterms:W3CDTF">2018-07-27T09:37:00Z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