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F17CD" w14:textId="4D7ECB06" w:rsidR="00892931" w:rsidRPr="00D8718E" w:rsidRDefault="00323CFF" w:rsidP="00D8718E">
      <w:pPr>
        <w:pStyle w:val="Heading1"/>
        <w:rPr>
          <w:rFonts w:ascii="Arial" w:hAnsi="Arial" w:cs="Arial"/>
          <w:b/>
          <w:sz w:val="24"/>
          <w:szCs w:val="24"/>
        </w:rPr>
      </w:pPr>
      <w:r w:rsidRPr="00D8718E">
        <w:rPr>
          <w:rFonts w:ascii="Arial" w:hAnsi="Arial" w:cs="Arial"/>
          <w:b/>
          <w:sz w:val="24"/>
          <w:szCs w:val="24"/>
        </w:rPr>
        <w:t>What checks are n</w:t>
      </w:r>
      <w:r w:rsidR="00892931" w:rsidRPr="00D8718E">
        <w:rPr>
          <w:rFonts w:ascii="Arial" w:hAnsi="Arial" w:cs="Arial"/>
          <w:b/>
          <w:sz w:val="24"/>
          <w:szCs w:val="24"/>
        </w:rPr>
        <w:t xml:space="preserve">eeded </w:t>
      </w:r>
      <w:r w:rsidRPr="00D8718E">
        <w:rPr>
          <w:rFonts w:ascii="Arial" w:hAnsi="Arial" w:cs="Arial"/>
          <w:b/>
          <w:sz w:val="24"/>
          <w:szCs w:val="24"/>
        </w:rPr>
        <w:t>o</w:t>
      </w:r>
      <w:r w:rsidR="00892931" w:rsidRPr="00D8718E">
        <w:rPr>
          <w:rFonts w:ascii="Arial" w:hAnsi="Arial" w:cs="Arial"/>
          <w:b/>
          <w:sz w:val="24"/>
          <w:szCs w:val="24"/>
        </w:rPr>
        <w:t xml:space="preserve">n </w:t>
      </w:r>
      <w:r w:rsidRPr="00D8718E">
        <w:rPr>
          <w:rFonts w:ascii="Arial" w:hAnsi="Arial" w:cs="Arial"/>
          <w:b/>
          <w:sz w:val="24"/>
          <w:szCs w:val="24"/>
        </w:rPr>
        <w:t>o</w:t>
      </w:r>
      <w:r w:rsidR="00892931" w:rsidRPr="00D8718E">
        <w:rPr>
          <w:rFonts w:ascii="Arial" w:hAnsi="Arial" w:cs="Arial"/>
          <w:b/>
          <w:sz w:val="24"/>
          <w:szCs w:val="24"/>
        </w:rPr>
        <w:t>ur Accounts?</w:t>
      </w:r>
    </w:p>
    <w:p w14:paraId="590E20CE" w14:textId="77777777" w:rsidR="00892931" w:rsidRPr="00D8718E" w:rsidRDefault="00892931" w:rsidP="004721A8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E0D71C8" w14:textId="77777777" w:rsidR="00892931" w:rsidRPr="00D8718E" w:rsidRDefault="00892931" w:rsidP="004B6BC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8718E">
        <w:rPr>
          <w:rFonts w:ascii="Arial" w:hAnsi="Arial" w:cs="Arial"/>
          <w:sz w:val="24"/>
          <w:szCs w:val="24"/>
        </w:rPr>
        <w:t>Any organisation with charitable status is handling other people's money. The law says</w:t>
      </w:r>
    </w:p>
    <w:p w14:paraId="34D2AB32" w14:textId="77777777" w:rsidR="00892931" w:rsidRPr="00D8718E" w:rsidRDefault="00892931" w:rsidP="004B6BC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8718E">
        <w:rPr>
          <w:rFonts w:ascii="Arial" w:hAnsi="Arial" w:cs="Arial"/>
          <w:sz w:val="24"/>
          <w:szCs w:val="24"/>
        </w:rPr>
        <w:t>that you must therefore produce accounts each year, and in almost all cases, have those</w:t>
      </w:r>
    </w:p>
    <w:p w14:paraId="10FE7715" w14:textId="77777777" w:rsidR="00892931" w:rsidRPr="00D8718E" w:rsidRDefault="00892931" w:rsidP="004B6BC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8718E">
        <w:rPr>
          <w:rFonts w:ascii="Arial" w:hAnsi="Arial" w:cs="Arial"/>
          <w:sz w:val="24"/>
          <w:szCs w:val="24"/>
        </w:rPr>
        <w:t>accounts scrutinised by someone completely independent of the charity.</w:t>
      </w:r>
    </w:p>
    <w:p w14:paraId="0D2B12E9" w14:textId="77777777" w:rsidR="00892931" w:rsidRPr="00D8718E" w:rsidRDefault="00892931" w:rsidP="004B6BC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881238D" w14:textId="5A7201DB" w:rsidR="00892931" w:rsidRPr="00D8718E" w:rsidRDefault="00A3320A" w:rsidP="004B6BCF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D8718E">
        <w:rPr>
          <w:rFonts w:ascii="Arial" w:hAnsi="Arial" w:cs="Arial"/>
          <w:b/>
          <w:sz w:val="24"/>
          <w:szCs w:val="24"/>
        </w:rPr>
        <w:t>Isn’t that a</w:t>
      </w:r>
      <w:r w:rsidR="00892931" w:rsidRPr="00D8718E">
        <w:rPr>
          <w:rFonts w:ascii="Arial" w:hAnsi="Arial" w:cs="Arial"/>
          <w:b/>
          <w:sz w:val="24"/>
          <w:szCs w:val="24"/>
        </w:rPr>
        <w:t>n Audit</w:t>
      </w:r>
    </w:p>
    <w:p w14:paraId="1180DABD" w14:textId="77777777" w:rsidR="00302C9A" w:rsidRPr="00D8718E" w:rsidRDefault="00302C9A" w:rsidP="004B6BC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6C36640" w14:textId="5930F79A" w:rsidR="00892931" w:rsidRPr="00D8718E" w:rsidRDefault="00302C9A" w:rsidP="004B6BC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8718E">
        <w:rPr>
          <w:rFonts w:ascii="Arial" w:hAnsi="Arial" w:cs="Arial"/>
          <w:sz w:val="24"/>
          <w:szCs w:val="24"/>
        </w:rPr>
        <w:t>S</w:t>
      </w:r>
      <w:r w:rsidR="00892931" w:rsidRPr="00D8718E">
        <w:rPr>
          <w:rFonts w:ascii="Arial" w:hAnsi="Arial" w:cs="Arial"/>
          <w:sz w:val="24"/>
          <w:szCs w:val="24"/>
        </w:rPr>
        <w:t>ince 1992, a charity audit means a full professional audit</w:t>
      </w:r>
      <w:r w:rsidR="00FE7156" w:rsidRPr="00D8718E">
        <w:rPr>
          <w:rFonts w:ascii="Arial" w:hAnsi="Arial" w:cs="Arial"/>
          <w:sz w:val="24"/>
          <w:szCs w:val="24"/>
        </w:rPr>
        <w:t xml:space="preserve"> </w:t>
      </w:r>
      <w:r w:rsidR="00892931" w:rsidRPr="00D8718E">
        <w:rPr>
          <w:rFonts w:ascii="Arial" w:hAnsi="Arial" w:cs="Arial"/>
          <w:sz w:val="24"/>
          <w:szCs w:val="24"/>
        </w:rPr>
        <w:t xml:space="preserve">by a firm of registered auditors. An audit is </w:t>
      </w:r>
      <w:r w:rsidRPr="00D8718E">
        <w:rPr>
          <w:rFonts w:ascii="Arial" w:hAnsi="Arial" w:cs="Arial"/>
          <w:sz w:val="24"/>
          <w:szCs w:val="24"/>
        </w:rPr>
        <w:t>only require</w:t>
      </w:r>
      <w:r w:rsidR="00FE7156" w:rsidRPr="00D8718E">
        <w:rPr>
          <w:rFonts w:ascii="Arial" w:hAnsi="Arial" w:cs="Arial"/>
          <w:sz w:val="24"/>
          <w:szCs w:val="24"/>
        </w:rPr>
        <w:t xml:space="preserve">d </w:t>
      </w:r>
      <w:r w:rsidR="00892931" w:rsidRPr="00D8718E">
        <w:rPr>
          <w:rFonts w:ascii="Arial" w:hAnsi="Arial" w:cs="Arial"/>
          <w:sz w:val="24"/>
          <w:szCs w:val="24"/>
        </w:rPr>
        <w:t xml:space="preserve">for charities with </w:t>
      </w:r>
      <w:r w:rsidR="005520D5" w:rsidRPr="00D8718E">
        <w:rPr>
          <w:rFonts w:ascii="Arial" w:hAnsi="Arial" w:cs="Arial"/>
          <w:sz w:val="24"/>
          <w:szCs w:val="24"/>
        </w:rPr>
        <w:t xml:space="preserve">an </w:t>
      </w:r>
      <w:r w:rsidR="000F1F28" w:rsidRPr="00D8718E">
        <w:rPr>
          <w:rFonts w:ascii="Arial" w:hAnsi="Arial" w:cs="Arial"/>
          <w:sz w:val="24"/>
          <w:szCs w:val="24"/>
        </w:rPr>
        <w:t>income of more than</w:t>
      </w:r>
      <w:r w:rsidR="00EB7519" w:rsidRPr="00D8718E">
        <w:rPr>
          <w:rFonts w:ascii="Arial" w:hAnsi="Arial" w:cs="Arial"/>
          <w:sz w:val="24"/>
          <w:szCs w:val="24"/>
        </w:rPr>
        <w:t xml:space="preserve"> </w:t>
      </w:r>
      <w:r w:rsidR="00892931" w:rsidRPr="00D8718E">
        <w:rPr>
          <w:rFonts w:ascii="Arial" w:hAnsi="Arial" w:cs="Arial"/>
          <w:sz w:val="24"/>
          <w:szCs w:val="24"/>
        </w:rPr>
        <w:t>£</w:t>
      </w:r>
      <w:r w:rsidR="00B73143" w:rsidRPr="00D8718E">
        <w:rPr>
          <w:rFonts w:ascii="Arial" w:hAnsi="Arial" w:cs="Arial"/>
          <w:sz w:val="24"/>
          <w:szCs w:val="24"/>
        </w:rPr>
        <w:t>1,0</w:t>
      </w:r>
      <w:r w:rsidR="00892931" w:rsidRPr="00D8718E">
        <w:rPr>
          <w:rFonts w:ascii="Arial" w:hAnsi="Arial" w:cs="Arial"/>
          <w:sz w:val="24"/>
          <w:szCs w:val="24"/>
        </w:rPr>
        <w:t xml:space="preserve">00,000. However, for the </w:t>
      </w:r>
      <w:proofErr w:type="gramStart"/>
      <w:r w:rsidR="00892931" w:rsidRPr="00D8718E">
        <w:rPr>
          <w:rFonts w:ascii="Arial" w:hAnsi="Arial" w:cs="Arial"/>
          <w:sz w:val="24"/>
          <w:szCs w:val="24"/>
        </w:rPr>
        <w:t>vast majority</w:t>
      </w:r>
      <w:proofErr w:type="gramEnd"/>
      <w:r w:rsidR="00892931" w:rsidRPr="00D8718E">
        <w:rPr>
          <w:rFonts w:ascii="Arial" w:hAnsi="Arial" w:cs="Arial"/>
          <w:sz w:val="24"/>
          <w:szCs w:val="24"/>
        </w:rPr>
        <w:t xml:space="preserve"> of smaller charities, the law allows an</w:t>
      </w:r>
      <w:r w:rsidR="00EB7519" w:rsidRPr="00D8718E">
        <w:rPr>
          <w:rFonts w:ascii="Arial" w:hAnsi="Arial" w:cs="Arial"/>
          <w:sz w:val="24"/>
          <w:szCs w:val="24"/>
        </w:rPr>
        <w:t xml:space="preserve"> </w:t>
      </w:r>
      <w:r w:rsidR="00892931" w:rsidRPr="00D8718E">
        <w:rPr>
          <w:rFonts w:ascii="Arial" w:hAnsi="Arial" w:cs="Arial"/>
          <w:sz w:val="24"/>
          <w:szCs w:val="24"/>
        </w:rPr>
        <w:t>independent examination, which although covering slightly less than a full audit, is still a</w:t>
      </w:r>
      <w:r w:rsidR="00FE7156" w:rsidRPr="00D8718E">
        <w:rPr>
          <w:rFonts w:ascii="Arial" w:hAnsi="Arial" w:cs="Arial"/>
          <w:sz w:val="24"/>
          <w:szCs w:val="24"/>
        </w:rPr>
        <w:t xml:space="preserve"> </w:t>
      </w:r>
      <w:r w:rsidR="00892931" w:rsidRPr="00D8718E">
        <w:rPr>
          <w:rFonts w:ascii="Arial" w:hAnsi="Arial" w:cs="Arial"/>
          <w:sz w:val="24"/>
          <w:szCs w:val="24"/>
        </w:rPr>
        <w:t>very thorough form of scrutiny. It covers exempted charities (e.g. churches, scout/guide</w:t>
      </w:r>
      <w:r w:rsidR="00EB7519" w:rsidRPr="00D8718E">
        <w:rPr>
          <w:rFonts w:ascii="Arial" w:hAnsi="Arial" w:cs="Arial"/>
          <w:sz w:val="24"/>
          <w:szCs w:val="24"/>
        </w:rPr>
        <w:t xml:space="preserve"> </w:t>
      </w:r>
      <w:r w:rsidR="00892931" w:rsidRPr="00D8718E">
        <w:rPr>
          <w:rFonts w:ascii="Arial" w:hAnsi="Arial" w:cs="Arial"/>
          <w:sz w:val="24"/>
          <w:szCs w:val="24"/>
        </w:rPr>
        <w:t>groups) as well as registered and charitable companies Ltd by Guarantee.</w:t>
      </w:r>
    </w:p>
    <w:p w14:paraId="71369ACF" w14:textId="77777777" w:rsidR="00892931" w:rsidRPr="00D8718E" w:rsidRDefault="00892931" w:rsidP="004B6BC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6DDF72D" w14:textId="5D472641" w:rsidR="00892931" w:rsidRPr="00D8718E" w:rsidRDefault="00A3320A" w:rsidP="004B6BCF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D8718E">
        <w:rPr>
          <w:rFonts w:ascii="Arial" w:hAnsi="Arial" w:cs="Arial"/>
          <w:b/>
          <w:sz w:val="24"/>
          <w:szCs w:val="24"/>
        </w:rPr>
        <w:t>What is a</w:t>
      </w:r>
      <w:r w:rsidR="00892931" w:rsidRPr="00D8718E">
        <w:rPr>
          <w:rFonts w:ascii="Arial" w:hAnsi="Arial" w:cs="Arial"/>
          <w:b/>
          <w:sz w:val="24"/>
          <w:szCs w:val="24"/>
        </w:rPr>
        <w:t>n Independent Examination?</w:t>
      </w:r>
    </w:p>
    <w:p w14:paraId="1C605C7B" w14:textId="77777777" w:rsidR="00892931" w:rsidRPr="00D8718E" w:rsidRDefault="00892931" w:rsidP="004B6BC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7C89A13" w14:textId="77777777" w:rsidR="00892931" w:rsidRPr="00D8718E" w:rsidRDefault="00892931" w:rsidP="004B6BC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8718E">
        <w:rPr>
          <w:rFonts w:ascii="Arial" w:hAnsi="Arial" w:cs="Arial"/>
          <w:sz w:val="24"/>
          <w:szCs w:val="24"/>
        </w:rPr>
        <w:t>Independent examination is the process of scrutinising a charity's accounts below the level</w:t>
      </w:r>
    </w:p>
    <w:p w14:paraId="25CB9801" w14:textId="77777777" w:rsidR="00892931" w:rsidRPr="00D8718E" w:rsidRDefault="00892931" w:rsidP="004B6BC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8718E">
        <w:rPr>
          <w:rFonts w:ascii="Arial" w:hAnsi="Arial" w:cs="Arial"/>
          <w:sz w:val="24"/>
          <w:szCs w:val="24"/>
        </w:rPr>
        <w:t>of a professional audit. An independent examiner will look at your accounts, gain an</w:t>
      </w:r>
    </w:p>
    <w:p w14:paraId="0E9334AF" w14:textId="77777777" w:rsidR="00892931" w:rsidRPr="00D8718E" w:rsidRDefault="00892931" w:rsidP="004B6BC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8718E">
        <w:rPr>
          <w:rFonts w:ascii="Arial" w:hAnsi="Arial" w:cs="Arial"/>
          <w:sz w:val="24"/>
          <w:szCs w:val="24"/>
        </w:rPr>
        <w:t>understanding of the organisation, compare the accounts to the books, perform various</w:t>
      </w:r>
    </w:p>
    <w:p w14:paraId="4058DAA4" w14:textId="77777777" w:rsidR="00892931" w:rsidRPr="00D8718E" w:rsidRDefault="00892931" w:rsidP="004B6BC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8718E">
        <w:rPr>
          <w:rFonts w:ascii="Arial" w:hAnsi="Arial" w:cs="Arial"/>
          <w:sz w:val="24"/>
          <w:szCs w:val="24"/>
        </w:rPr>
        <w:t xml:space="preserve">other </w:t>
      </w:r>
      <w:proofErr w:type="gramStart"/>
      <w:r w:rsidRPr="00D8718E">
        <w:rPr>
          <w:rFonts w:ascii="Arial" w:hAnsi="Arial" w:cs="Arial"/>
          <w:sz w:val="24"/>
          <w:szCs w:val="24"/>
        </w:rPr>
        <w:t>checks, and</w:t>
      </w:r>
      <w:proofErr w:type="gramEnd"/>
      <w:r w:rsidRPr="00D8718E">
        <w:rPr>
          <w:rFonts w:ascii="Arial" w:hAnsi="Arial" w:cs="Arial"/>
          <w:sz w:val="24"/>
          <w:szCs w:val="24"/>
        </w:rPr>
        <w:t xml:space="preserve"> write an independent report for circulation with the accounts. The</w:t>
      </w:r>
    </w:p>
    <w:p w14:paraId="2BC8A0D8" w14:textId="23A1E3FE" w:rsidR="00892931" w:rsidRPr="00D8718E" w:rsidRDefault="00892931" w:rsidP="004B6BC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8718E">
        <w:rPr>
          <w:rFonts w:ascii="Arial" w:hAnsi="Arial" w:cs="Arial"/>
          <w:sz w:val="24"/>
          <w:szCs w:val="24"/>
        </w:rPr>
        <w:t xml:space="preserve">procedures are laid down by Act of Parliament, by Regulations, and (in England &amp; </w:t>
      </w:r>
      <w:r w:rsidR="004B65CD" w:rsidRPr="00D8718E">
        <w:rPr>
          <w:rFonts w:ascii="Arial" w:hAnsi="Arial" w:cs="Arial"/>
          <w:sz w:val="24"/>
          <w:szCs w:val="24"/>
        </w:rPr>
        <w:t>Wales)</w:t>
      </w:r>
    </w:p>
    <w:p w14:paraId="4ACF3B16" w14:textId="77777777" w:rsidR="00892931" w:rsidRPr="00D8718E" w:rsidRDefault="00892931" w:rsidP="004B6BC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8718E">
        <w:rPr>
          <w:rFonts w:ascii="Arial" w:hAnsi="Arial" w:cs="Arial"/>
          <w:sz w:val="24"/>
          <w:szCs w:val="24"/>
        </w:rPr>
        <w:t>by the Directions of the Charity Commission. Unless your constitution says that you must</w:t>
      </w:r>
    </w:p>
    <w:p w14:paraId="0B1A92D0" w14:textId="77777777" w:rsidR="00892931" w:rsidRPr="00D8718E" w:rsidRDefault="00892931" w:rsidP="004B6BC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8718E">
        <w:rPr>
          <w:rFonts w:ascii="Arial" w:hAnsi="Arial" w:cs="Arial"/>
          <w:sz w:val="24"/>
          <w:szCs w:val="24"/>
        </w:rPr>
        <w:t>have a full audit, most funders and donors are very happy to accept independently</w:t>
      </w:r>
    </w:p>
    <w:p w14:paraId="2D12CCA2" w14:textId="0FD48A05" w:rsidR="00892931" w:rsidRPr="00D8718E" w:rsidRDefault="00892931" w:rsidP="004B6BC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8718E">
        <w:rPr>
          <w:rFonts w:ascii="Arial" w:hAnsi="Arial" w:cs="Arial"/>
          <w:sz w:val="24"/>
          <w:szCs w:val="24"/>
        </w:rPr>
        <w:t>examined accounts. If you do not have the skills to produce a full set of accounts</w:t>
      </w:r>
      <w:r w:rsidR="00B73D56" w:rsidRPr="00D8718E">
        <w:rPr>
          <w:rFonts w:ascii="Arial" w:hAnsi="Arial" w:cs="Arial"/>
          <w:sz w:val="24"/>
          <w:szCs w:val="24"/>
        </w:rPr>
        <w:t xml:space="preserve"> </w:t>
      </w:r>
      <w:r w:rsidRPr="00D8718E">
        <w:rPr>
          <w:rFonts w:ascii="Arial" w:hAnsi="Arial" w:cs="Arial"/>
          <w:sz w:val="24"/>
          <w:szCs w:val="24"/>
        </w:rPr>
        <w:t>complying with charity law, most independent examiners will help with preparing accounts</w:t>
      </w:r>
      <w:r w:rsidR="00B73D56" w:rsidRPr="00D8718E">
        <w:rPr>
          <w:rFonts w:ascii="Arial" w:hAnsi="Arial" w:cs="Arial"/>
          <w:sz w:val="24"/>
          <w:szCs w:val="24"/>
        </w:rPr>
        <w:t xml:space="preserve"> </w:t>
      </w:r>
      <w:r w:rsidRPr="00D8718E">
        <w:rPr>
          <w:rFonts w:ascii="Arial" w:hAnsi="Arial" w:cs="Arial"/>
          <w:sz w:val="24"/>
          <w:szCs w:val="24"/>
        </w:rPr>
        <w:t>in the format required, for approval by your committee or trustees, as well as examining</w:t>
      </w:r>
      <w:r w:rsidR="00B73D56" w:rsidRPr="00D8718E">
        <w:rPr>
          <w:rFonts w:ascii="Arial" w:hAnsi="Arial" w:cs="Arial"/>
          <w:sz w:val="24"/>
          <w:szCs w:val="24"/>
        </w:rPr>
        <w:t xml:space="preserve"> </w:t>
      </w:r>
      <w:r w:rsidRPr="00D8718E">
        <w:rPr>
          <w:rFonts w:ascii="Arial" w:hAnsi="Arial" w:cs="Arial"/>
          <w:sz w:val="24"/>
          <w:szCs w:val="24"/>
        </w:rPr>
        <w:t>them.</w:t>
      </w:r>
    </w:p>
    <w:p w14:paraId="45411BB9" w14:textId="77777777" w:rsidR="00892931" w:rsidRPr="00D8718E" w:rsidRDefault="00892931" w:rsidP="004B6BC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DD15CE0" w14:textId="20714ECC" w:rsidR="00892931" w:rsidRPr="00D8718E" w:rsidRDefault="004B6BCF" w:rsidP="004B6BCF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D8718E">
        <w:rPr>
          <w:rFonts w:ascii="Arial" w:hAnsi="Arial" w:cs="Arial"/>
          <w:b/>
          <w:sz w:val="24"/>
          <w:szCs w:val="24"/>
        </w:rPr>
        <w:t>Who c</w:t>
      </w:r>
      <w:r w:rsidR="00892931" w:rsidRPr="00D8718E">
        <w:rPr>
          <w:rFonts w:ascii="Arial" w:hAnsi="Arial" w:cs="Arial"/>
          <w:b/>
          <w:sz w:val="24"/>
          <w:szCs w:val="24"/>
        </w:rPr>
        <w:t xml:space="preserve">an </w:t>
      </w:r>
      <w:r w:rsidRPr="00D8718E">
        <w:rPr>
          <w:rFonts w:ascii="Arial" w:hAnsi="Arial" w:cs="Arial"/>
          <w:b/>
          <w:sz w:val="24"/>
          <w:szCs w:val="24"/>
        </w:rPr>
        <w:t>b</w:t>
      </w:r>
      <w:r w:rsidR="00892931" w:rsidRPr="00D8718E">
        <w:rPr>
          <w:rFonts w:ascii="Arial" w:hAnsi="Arial" w:cs="Arial"/>
          <w:b/>
          <w:sz w:val="24"/>
          <w:szCs w:val="24"/>
        </w:rPr>
        <w:t xml:space="preserve">e </w:t>
      </w:r>
      <w:r w:rsidRPr="00D8718E">
        <w:rPr>
          <w:rFonts w:ascii="Arial" w:hAnsi="Arial" w:cs="Arial"/>
          <w:b/>
          <w:sz w:val="24"/>
          <w:szCs w:val="24"/>
        </w:rPr>
        <w:t>an</w:t>
      </w:r>
      <w:r w:rsidR="00892931" w:rsidRPr="00D8718E">
        <w:rPr>
          <w:rFonts w:ascii="Arial" w:hAnsi="Arial" w:cs="Arial"/>
          <w:b/>
          <w:sz w:val="24"/>
          <w:szCs w:val="24"/>
        </w:rPr>
        <w:t xml:space="preserve"> </w:t>
      </w:r>
      <w:r w:rsidR="00EE2206" w:rsidRPr="00D8718E">
        <w:rPr>
          <w:rFonts w:ascii="Arial" w:hAnsi="Arial" w:cs="Arial"/>
          <w:b/>
          <w:sz w:val="24"/>
          <w:szCs w:val="24"/>
        </w:rPr>
        <w:t>Independent</w:t>
      </w:r>
      <w:r w:rsidR="00892931" w:rsidRPr="00D8718E">
        <w:rPr>
          <w:rFonts w:ascii="Arial" w:hAnsi="Arial" w:cs="Arial"/>
          <w:b/>
          <w:sz w:val="24"/>
          <w:szCs w:val="24"/>
        </w:rPr>
        <w:t xml:space="preserve"> Examiner?</w:t>
      </w:r>
    </w:p>
    <w:p w14:paraId="13E4E0F5" w14:textId="77777777" w:rsidR="00892931" w:rsidRPr="00D8718E" w:rsidRDefault="00892931" w:rsidP="004B6BCF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4E96D9EA" w14:textId="77777777" w:rsidR="00892931" w:rsidRPr="00D8718E" w:rsidRDefault="00892931" w:rsidP="004B6BC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8718E">
        <w:rPr>
          <w:rFonts w:ascii="Arial" w:hAnsi="Arial" w:cs="Arial"/>
          <w:sz w:val="24"/>
          <w:szCs w:val="24"/>
        </w:rPr>
        <w:t xml:space="preserve">The law defines an Independent Examiner as an independent person who is </w:t>
      </w:r>
      <w:bookmarkStart w:id="0" w:name="_GoBack"/>
      <w:bookmarkEnd w:id="0"/>
      <w:r w:rsidRPr="00D8718E">
        <w:rPr>
          <w:rFonts w:ascii="Arial" w:hAnsi="Arial" w:cs="Arial"/>
          <w:sz w:val="24"/>
          <w:szCs w:val="24"/>
        </w:rPr>
        <w:t>reasonably</w:t>
      </w:r>
    </w:p>
    <w:p w14:paraId="0C32C7B8" w14:textId="77777777" w:rsidR="00892931" w:rsidRPr="00D8718E" w:rsidRDefault="00892931" w:rsidP="004B6BC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8718E">
        <w:rPr>
          <w:rFonts w:ascii="Arial" w:hAnsi="Arial" w:cs="Arial"/>
          <w:sz w:val="24"/>
          <w:szCs w:val="24"/>
        </w:rPr>
        <w:t>believed by the charity trustees to have the requisite ability and practical experience to</w:t>
      </w:r>
    </w:p>
    <w:p w14:paraId="13248BED" w14:textId="77777777" w:rsidR="00892931" w:rsidRPr="00D8718E" w:rsidRDefault="00892931" w:rsidP="004B6BC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8718E">
        <w:rPr>
          <w:rFonts w:ascii="Arial" w:hAnsi="Arial" w:cs="Arial"/>
          <w:sz w:val="24"/>
          <w:szCs w:val="24"/>
        </w:rPr>
        <w:lastRenderedPageBreak/>
        <w:t>carry out a competent examination of the accounts. The key issues are independence (not</w:t>
      </w:r>
    </w:p>
    <w:p w14:paraId="1DAD3DF3" w14:textId="10AADD0E" w:rsidR="00892931" w:rsidRPr="00D8718E" w:rsidRDefault="00892931" w:rsidP="004B6BC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8718E">
        <w:rPr>
          <w:rFonts w:ascii="Arial" w:hAnsi="Arial" w:cs="Arial"/>
          <w:sz w:val="24"/>
          <w:szCs w:val="24"/>
        </w:rPr>
        <w:t>someone closely connected with any trustee), ability and experience (especially</w:t>
      </w:r>
      <w:r w:rsidR="00B73D56" w:rsidRPr="00D8718E">
        <w:rPr>
          <w:rFonts w:ascii="Arial" w:hAnsi="Arial" w:cs="Arial"/>
          <w:sz w:val="24"/>
          <w:szCs w:val="24"/>
        </w:rPr>
        <w:t xml:space="preserve"> </w:t>
      </w:r>
      <w:r w:rsidRPr="00D8718E">
        <w:rPr>
          <w:rFonts w:ascii="Arial" w:hAnsi="Arial" w:cs="Arial"/>
          <w:sz w:val="24"/>
          <w:szCs w:val="24"/>
        </w:rPr>
        <w:t>experience of charity accounts) and a willingness to devote the time and effort needed for</w:t>
      </w:r>
      <w:r w:rsidR="00B73D56" w:rsidRPr="00D8718E">
        <w:rPr>
          <w:rFonts w:ascii="Arial" w:hAnsi="Arial" w:cs="Arial"/>
          <w:sz w:val="24"/>
          <w:szCs w:val="24"/>
        </w:rPr>
        <w:t xml:space="preserve"> </w:t>
      </w:r>
      <w:r w:rsidRPr="00D8718E">
        <w:rPr>
          <w:rFonts w:ascii="Arial" w:hAnsi="Arial" w:cs="Arial"/>
          <w:sz w:val="24"/>
          <w:szCs w:val="24"/>
        </w:rPr>
        <w:t>a competent examination of the accounts, in accordance with the various regulations on</w:t>
      </w:r>
      <w:r w:rsidR="00B73D56" w:rsidRPr="00D8718E">
        <w:rPr>
          <w:rFonts w:ascii="Arial" w:hAnsi="Arial" w:cs="Arial"/>
          <w:sz w:val="24"/>
          <w:szCs w:val="24"/>
        </w:rPr>
        <w:t xml:space="preserve"> </w:t>
      </w:r>
      <w:r w:rsidRPr="00D8718E">
        <w:rPr>
          <w:rFonts w:ascii="Arial" w:hAnsi="Arial" w:cs="Arial"/>
          <w:sz w:val="24"/>
          <w:szCs w:val="24"/>
        </w:rPr>
        <w:t xml:space="preserve">independent examination. </w:t>
      </w:r>
    </w:p>
    <w:p w14:paraId="1A2E4E8C" w14:textId="77777777" w:rsidR="00892931" w:rsidRPr="00D8718E" w:rsidRDefault="00892931" w:rsidP="004B6BC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5547A7F" w14:textId="77777777" w:rsidR="004B6BCF" w:rsidRPr="00D8718E" w:rsidRDefault="004B6BCF" w:rsidP="004B6BCF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18D75362" w14:textId="77777777" w:rsidR="004B6BCF" w:rsidRPr="00D8718E" w:rsidRDefault="004B6BCF" w:rsidP="004B6BCF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390D8B87" w14:textId="77777777" w:rsidR="004B6BCF" w:rsidRPr="00D8718E" w:rsidRDefault="004B6BCF" w:rsidP="004B6BCF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7E8282AE" w14:textId="77777777" w:rsidR="004B6BCF" w:rsidRPr="00D8718E" w:rsidRDefault="004B6BCF" w:rsidP="004B6BCF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06A93487" w14:textId="77777777" w:rsidR="004B6BCF" w:rsidRPr="00D8718E" w:rsidRDefault="004B6BCF" w:rsidP="004B6BCF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72014A71" w14:textId="77777777" w:rsidR="004B6BCF" w:rsidRPr="00D8718E" w:rsidRDefault="004B6BCF" w:rsidP="004B6BCF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7D881E55" w14:textId="7D9C58A2" w:rsidR="00892931" w:rsidRPr="00D8718E" w:rsidRDefault="00892931" w:rsidP="004B6BCF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D8718E">
        <w:rPr>
          <w:rFonts w:ascii="Arial" w:hAnsi="Arial" w:cs="Arial"/>
          <w:b/>
          <w:sz w:val="24"/>
          <w:szCs w:val="24"/>
        </w:rPr>
        <w:t xml:space="preserve">Confirming </w:t>
      </w:r>
      <w:r w:rsidR="004B6BCF" w:rsidRPr="00D8718E">
        <w:rPr>
          <w:rFonts w:ascii="Arial" w:hAnsi="Arial" w:cs="Arial"/>
          <w:b/>
          <w:sz w:val="24"/>
          <w:szCs w:val="24"/>
        </w:rPr>
        <w:t>the</w:t>
      </w:r>
      <w:r w:rsidRPr="00D8718E">
        <w:rPr>
          <w:rFonts w:ascii="Arial" w:hAnsi="Arial" w:cs="Arial"/>
          <w:b/>
          <w:sz w:val="24"/>
          <w:szCs w:val="24"/>
        </w:rPr>
        <w:t xml:space="preserve"> Appointment</w:t>
      </w:r>
    </w:p>
    <w:p w14:paraId="6A009C09" w14:textId="77777777" w:rsidR="00892931" w:rsidRPr="00D8718E" w:rsidRDefault="00892931" w:rsidP="004B6BC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46EFA89" w14:textId="1E6B8CC9" w:rsidR="00892931" w:rsidRPr="00D8718E" w:rsidRDefault="00892931" w:rsidP="004B6BC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8718E">
        <w:rPr>
          <w:rFonts w:ascii="Arial" w:hAnsi="Arial" w:cs="Arial"/>
          <w:sz w:val="24"/>
          <w:szCs w:val="24"/>
        </w:rPr>
        <w:t>Once your trustees have agreed to appoint a</w:t>
      </w:r>
      <w:r w:rsidR="004B6BCF" w:rsidRPr="00D8718E">
        <w:rPr>
          <w:rFonts w:ascii="Arial" w:hAnsi="Arial" w:cs="Arial"/>
          <w:sz w:val="24"/>
          <w:szCs w:val="24"/>
        </w:rPr>
        <w:t xml:space="preserve">n individual </w:t>
      </w:r>
      <w:r w:rsidRPr="00D8718E">
        <w:rPr>
          <w:rFonts w:ascii="Arial" w:hAnsi="Arial" w:cs="Arial"/>
          <w:sz w:val="24"/>
          <w:szCs w:val="24"/>
        </w:rPr>
        <w:t>as the Independent</w:t>
      </w:r>
    </w:p>
    <w:p w14:paraId="208E1783" w14:textId="77777777" w:rsidR="00892931" w:rsidRPr="00D8718E" w:rsidRDefault="00892931" w:rsidP="004B6BC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8718E">
        <w:rPr>
          <w:rFonts w:ascii="Arial" w:hAnsi="Arial" w:cs="Arial"/>
          <w:sz w:val="24"/>
          <w:szCs w:val="24"/>
        </w:rPr>
        <w:t>Examiner it is vital to confirm this in writing. Some examiners have a standard</w:t>
      </w:r>
    </w:p>
    <w:p w14:paraId="65D4215C" w14:textId="377548F8" w:rsidR="00892931" w:rsidRPr="00D8718E" w:rsidRDefault="00892931" w:rsidP="004B6BC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8718E">
        <w:rPr>
          <w:rFonts w:ascii="Arial" w:hAnsi="Arial" w:cs="Arial"/>
          <w:sz w:val="24"/>
          <w:szCs w:val="24"/>
        </w:rPr>
        <w:t xml:space="preserve">engagement letter, but if </w:t>
      </w:r>
      <w:r w:rsidR="004B6BCF" w:rsidRPr="00D8718E">
        <w:rPr>
          <w:rFonts w:ascii="Arial" w:hAnsi="Arial" w:cs="Arial"/>
          <w:sz w:val="24"/>
          <w:szCs w:val="24"/>
        </w:rPr>
        <w:t>not,</w:t>
      </w:r>
      <w:r w:rsidRPr="00D8718E">
        <w:rPr>
          <w:rFonts w:ascii="Arial" w:hAnsi="Arial" w:cs="Arial"/>
          <w:sz w:val="24"/>
          <w:szCs w:val="24"/>
        </w:rPr>
        <w:t xml:space="preserve"> you need to send a letter to the person, confirming that he or</w:t>
      </w:r>
      <w:r w:rsidR="00B73D56" w:rsidRPr="00D8718E">
        <w:rPr>
          <w:rFonts w:ascii="Arial" w:hAnsi="Arial" w:cs="Arial"/>
          <w:sz w:val="24"/>
          <w:szCs w:val="24"/>
        </w:rPr>
        <w:t xml:space="preserve"> </w:t>
      </w:r>
      <w:r w:rsidRPr="00D8718E">
        <w:rPr>
          <w:rFonts w:ascii="Arial" w:hAnsi="Arial" w:cs="Arial"/>
          <w:sz w:val="24"/>
          <w:szCs w:val="24"/>
        </w:rPr>
        <w:t>she is appointed "to undertake an independent examination of the charity's accounts in</w:t>
      </w:r>
    </w:p>
    <w:p w14:paraId="1610A19D" w14:textId="77777777" w:rsidR="00892931" w:rsidRPr="00D8718E" w:rsidRDefault="00892931" w:rsidP="004B6BC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8718E">
        <w:rPr>
          <w:rFonts w:ascii="Arial" w:hAnsi="Arial" w:cs="Arial"/>
          <w:sz w:val="24"/>
          <w:szCs w:val="24"/>
        </w:rPr>
        <w:t>accordance with the Charities Act 1993". This must be signed on behalf of the charity</w:t>
      </w:r>
    </w:p>
    <w:p w14:paraId="1714B9B0" w14:textId="77777777" w:rsidR="00892931" w:rsidRPr="00D8718E" w:rsidRDefault="00892931" w:rsidP="004B6BC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8718E">
        <w:rPr>
          <w:rFonts w:ascii="Arial" w:hAnsi="Arial" w:cs="Arial"/>
          <w:sz w:val="24"/>
          <w:szCs w:val="24"/>
        </w:rPr>
        <w:t>trustees. It must also make clear the charity concerned, the accounting year(s) to which</w:t>
      </w:r>
    </w:p>
    <w:p w14:paraId="11244A84" w14:textId="77777777" w:rsidR="00892931" w:rsidRPr="00D8718E" w:rsidRDefault="00892931" w:rsidP="004B6BC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8718E">
        <w:rPr>
          <w:rFonts w:ascii="Arial" w:hAnsi="Arial" w:cs="Arial"/>
          <w:sz w:val="24"/>
          <w:szCs w:val="24"/>
        </w:rPr>
        <w:t>the appointment applies, and it is also a good idea to confirm any discussions about fees</w:t>
      </w:r>
    </w:p>
    <w:p w14:paraId="384B588F" w14:textId="77777777" w:rsidR="004C1BF0" w:rsidRPr="00D8718E" w:rsidRDefault="00892931" w:rsidP="004B6BC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8718E">
        <w:rPr>
          <w:rFonts w:ascii="Arial" w:hAnsi="Arial" w:cs="Arial"/>
          <w:sz w:val="24"/>
          <w:szCs w:val="24"/>
        </w:rPr>
        <w:t>and timescales for the work.</w:t>
      </w:r>
    </w:p>
    <w:p w14:paraId="3D913F0A" w14:textId="77777777" w:rsidR="00892931" w:rsidRPr="00D8718E" w:rsidRDefault="00892931" w:rsidP="004B6BCF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082C3B5A" w14:textId="77777777" w:rsidR="00892931" w:rsidRPr="00D8718E" w:rsidRDefault="00892931" w:rsidP="004B6BCF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D8718E">
        <w:rPr>
          <w:rFonts w:ascii="Arial" w:hAnsi="Arial" w:cs="Arial"/>
          <w:b/>
          <w:sz w:val="24"/>
          <w:szCs w:val="24"/>
        </w:rPr>
        <w:t>The Examiner’s Report</w:t>
      </w:r>
    </w:p>
    <w:p w14:paraId="23EDA192" w14:textId="77777777" w:rsidR="00892931" w:rsidRPr="00D8718E" w:rsidRDefault="00892931" w:rsidP="004B6BC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E5C2884" w14:textId="77777777" w:rsidR="00892931" w:rsidRPr="00D8718E" w:rsidRDefault="00892931" w:rsidP="004B6BC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8718E">
        <w:rPr>
          <w:rFonts w:ascii="Arial" w:hAnsi="Arial" w:cs="Arial"/>
          <w:sz w:val="24"/>
          <w:szCs w:val="24"/>
        </w:rPr>
        <w:t>Once the independent examination is complete, the examiner must provide you with a</w:t>
      </w:r>
    </w:p>
    <w:p w14:paraId="608B3EEC" w14:textId="77777777" w:rsidR="00892931" w:rsidRPr="00D8718E" w:rsidRDefault="00892931" w:rsidP="004B6BC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8718E">
        <w:rPr>
          <w:rFonts w:ascii="Arial" w:hAnsi="Arial" w:cs="Arial"/>
          <w:sz w:val="24"/>
          <w:szCs w:val="24"/>
        </w:rPr>
        <w:t>signed report on your accounts (</w:t>
      </w:r>
      <w:proofErr w:type="gramStart"/>
      <w:r w:rsidRPr="00D8718E">
        <w:rPr>
          <w:rFonts w:ascii="Arial" w:hAnsi="Arial" w:cs="Arial"/>
          <w:sz w:val="24"/>
          <w:szCs w:val="24"/>
        </w:rPr>
        <w:t>similar to</w:t>
      </w:r>
      <w:proofErr w:type="gramEnd"/>
      <w:r w:rsidRPr="00D8718E">
        <w:rPr>
          <w:rFonts w:ascii="Arial" w:hAnsi="Arial" w:cs="Arial"/>
          <w:sz w:val="24"/>
          <w:szCs w:val="24"/>
        </w:rPr>
        <w:t xml:space="preserve"> an auditor's report). All copies of your accounts</w:t>
      </w:r>
    </w:p>
    <w:p w14:paraId="58F9BE06" w14:textId="77777777" w:rsidR="00892931" w:rsidRPr="00D8718E" w:rsidRDefault="00892931" w:rsidP="004B6BC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8718E">
        <w:rPr>
          <w:rFonts w:ascii="Arial" w:hAnsi="Arial" w:cs="Arial"/>
          <w:sz w:val="24"/>
          <w:szCs w:val="24"/>
        </w:rPr>
        <w:t>(e.g. to funders or to the Charity Commission) must include the independent examiner's</w:t>
      </w:r>
    </w:p>
    <w:p w14:paraId="7FFBC14B" w14:textId="77777777" w:rsidR="00892931" w:rsidRPr="00D8718E" w:rsidRDefault="00892931" w:rsidP="004B6BC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8718E">
        <w:rPr>
          <w:rFonts w:ascii="Arial" w:hAnsi="Arial" w:cs="Arial"/>
          <w:sz w:val="24"/>
          <w:szCs w:val="24"/>
        </w:rPr>
        <w:t>report.</w:t>
      </w:r>
    </w:p>
    <w:p w14:paraId="783367A2" w14:textId="77777777" w:rsidR="00892931" w:rsidRPr="00D8718E" w:rsidRDefault="00892931" w:rsidP="004B6BC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71BA8C3" w14:textId="77777777" w:rsidR="00892931" w:rsidRPr="00D8718E" w:rsidRDefault="00892931" w:rsidP="004B6BC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8718E">
        <w:rPr>
          <w:rFonts w:ascii="Arial" w:hAnsi="Arial" w:cs="Arial"/>
          <w:sz w:val="24"/>
          <w:szCs w:val="24"/>
        </w:rPr>
        <w:t>However, the wording of an independent examination report is different from an audit. An</w:t>
      </w:r>
    </w:p>
    <w:p w14:paraId="2B2624DF" w14:textId="77777777" w:rsidR="00892931" w:rsidRPr="00D8718E" w:rsidRDefault="00892931" w:rsidP="004B6BC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8718E">
        <w:rPr>
          <w:rFonts w:ascii="Arial" w:hAnsi="Arial" w:cs="Arial"/>
          <w:sz w:val="24"/>
          <w:szCs w:val="24"/>
        </w:rPr>
        <w:lastRenderedPageBreak/>
        <w:t>audit report normally says whether the accounts give a "true and fair view". By contrast an</w:t>
      </w:r>
    </w:p>
    <w:p w14:paraId="58B84CA6" w14:textId="353327A1" w:rsidR="00892931" w:rsidRPr="00D8718E" w:rsidRDefault="00892931" w:rsidP="004B6BC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8718E">
        <w:rPr>
          <w:rFonts w:ascii="Arial" w:hAnsi="Arial" w:cs="Arial"/>
          <w:sz w:val="24"/>
          <w:szCs w:val="24"/>
        </w:rPr>
        <w:t>independent examiner's report gives a negative assurance. An independent examiner</w:t>
      </w:r>
      <w:r w:rsidR="00B73D56" w:rsidRPr="00D8718E">
        <w:rPr>
          <w:rFonts w:ascii="Arial" w:hAnsi="Arial" w:cs="Arial"/>
          <w:sz w:val="24"/>
          <w:szCs w:val="24"/>
        </w:rPr>
        <w:t xml:space="preserve"> </w:t>
      </w:r>
      <w:r w:rsidRPr="00D8718E">
        <w:rPr>
          <w:rFonts w:ascii="Arial" w:hAnsi="Arial" w:cs="Arial"/>
          <w:sz w:val="24"/>
          <w:szCs w:val="24"/>
        </w:rPr>
        <w:t xml:space="preserve">gathers extensive evidence as required under the rules, and then says </w:t>
      </w:r>
      <w:proofErr w:type="gramStart"/>
      <w:r w:rsidRPr="00D8718E">
        <w:rPr>
          <w:rFonts w:ascii="Arial" w:hAnsi="Arial" w:cs="Arial"/>
          <w:sz w:val="24"/>
          <w:szCs w:val="24"/>
        </w:rPr>
        <w:t>whether or not</w:t>
      </w:r>
      <w:proofErr w:type="gramEnd"/>
      <w:r w:rsidR="00B73D56" w:rsidRPr="00D8718E">
        <w:rPr>
          <w:rFonts w:ascii="Arial" w:hAnsi="Arial" w:cs="Arial"/>
          <w:sz w:val="24"/>
          <w:szCs w:val="24"/>
        </w:rPr>
        <w:t xml:space="preserve"> </w:t>
      </w:r>
      <w:r w:rsidRPr="00D8718E">
        <w:rPr>
          <w:rFonts w:ascii="Arial" w:hAnsi="Arial" w:cs="Arial"/>
          <w:sz w:val="24"/>
          <w:szCs w:val="24"/>
        </w:rPr>
        <w:t>certain matters "have come to my attention".</w:t>
      </w:r>
    </w:p>
    <w:p w14:paraId="316162CF" w14:textId="77777777" w:rsidR="00892931" w:rsidRPr="00D8718E" w:rsidRDefault="00892931" w:rsidP="004B6BC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0186543" w14:textId="77777777" w:rsidR="00892931" w:rsidRPr="00D8718E" w:rsidRDefault="00892931" w:rsidP="004B6BC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8718E">
        <w:rPr>
          <w:rFonts w:ascii="Arial" w:hAnsi="Arial" w:cs="Arial"/>
          <w:sz w:val="24"/>
          <w:szCs w:val="24"/>
        </w:rPr>
        <w:t>To paraphrase the Regulations, if the examination is satisfactory, the independent</w:t>
      </w:r>
    </w:p>
    <w:p w14:paraId="42F16872" w14:textId="77777777" w:rsidR="00892931" w:rsidRPr="00D8718E" w:rsidRDefault="00892931" w:rsidP="004B6BC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8718E">
        <w:rPr>
          <w:rFonts w:ascii="Arial" w:hAnsi="Arial" w:cs="Arial"/>
          <w:sz w:val="24"/>
          <w:szCs w:val="24"/>
        </w:rPr>
        <w:t>examiner declares that:</w:t>
      </w:r>
    </w:p>
    <w:p w14:paraId="4240C498" w14:textId="77777777" w:rsidR="00892931" w:rsidRPr="00D8718E" w:rsidRDefault="00892931" w:rsidP="004B6BC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9C2C0E7" w14:textId="76DB4F3E" w:rsidR="00892931" w:rsidRPr="00D8718E" w:rsidRDefault="00A3320A" w:rsidP="004B6BCF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8718E">
        <w:rPr>
          <w:rFonts w:ascii="Arial" w:hAnsi="Arial" w:cs="Arial"/>
          <w:sz w:val="24"/>
          <w:szCs w:val="24"/>
        </w:rPr>
        <w:t>N</w:t>
      </w:r>
      <w:r w:rsidR="00892931" w:rsidRPr="00D8718E">
        <w:rPr>
          <w:rFonts w:ascii="Arial" w:hAnsi="Arial" w:cs="Arial"/>
          <w:sz w:val="24"/>
          <w:szCs w:val="24"/>
        </w:rPr>
        <w:t>o evidence was found of lack of accounting records</w:t>
      </w:r>
    </w:p>
    <w:p w14:paraId="4F6F34E9" w14:textId="51ACCCC6" w:rsidR="00892931" w:rsidRPr="00D8718E" w:rsidRDefault="00A3320A" w:rsidP="004B6BCF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8718E">
        <w:rPr>
          <w:rFonts w:ascii="Arial" w:hAnsi="Arial" w:cs="Arial"/>
          <w:sz w:val="24"/>
          <w:szCs w:val="24"/>
        </w:rPr>
        <w:t>N</w:t>
      </w:r>
      <w:r w:rsidR="00892931" w:rsidRPr="00D8718E">
        <w:rPr>
          <w:rFonts w:ascii="Arial" w:hAnsi="Arial" w:cs="Arial"/>
          <w:sz w:val="24"/>
          <w:szCs w:val="24"/>
        </w:rPr>
        <w:t>or of the accounts failing to comply with the records</w:t>
      </w:r>
    </w:p>
    <w:p w14:paraId="784DA40F" w14:textId="30123239" w:rsidR="00892931" w:rsidRPr="00D8718E" w:rsidRDefault="00A3320A" w:rsidP="004B6BCF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8718E">
        <w:rPr>
          <w:rFonts w:ascii="Arial" w:hAnsi="Arial" w:cs="Arial"/>
          <w:sz w:val="24"/>
          <w:szCs w:val="24"/>
        </w:rPr>
        <w:t>N</w:t>
      </w:r>
      <w:r w:rsidR="00892931" w:rsidRPr="00D8718E">
        <w:rPr>
          <w:rFonts w:ascii="Arial" w:hAnsi="Arial" w:cs="Arial"/>
          <w:sz w:val="24"/>
          <w:szCs w:val="24"/>
        </w:rPr>
        <w:t>or of accounts failing to comply with the Charities Act</w:t>
      </w:r>
    </w:p>
    <w:p w14:paraId="559BD659" w14:textId="346BE65C" w:rsidR="00892931" w:rsidRPr="00D8718E" w:rsidRDefault="00A3320A" w:rsidP="004B6BCF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8718E">
        <w:rPr>
          <w:rFonts w:ascii="Arial" w:hAnsi="Arial" w:cs="Arial"/>
          <w:sz w:val="24"/>
          <w:szCs w:val="24"/>
        </w:rPr>
        <w:t>N</w:t>
      </w:r>
      <w:r w:rsidR="00892931" w:rsidRPr="00D8718E">
        <w:rPr>
          <w:rFonts w:ascii="Arial" w:hAnsi="Arial" w:cs="Arial"/>
          <w:sz w:val="24"/>
          <w:szCs w:val="24"/>
        </w:rPr>
        <w:t>or are there other matters that need to be disclosed.</w:t>
      </w:r>
    </w:p>
    <w:p w14:paraId="567AFAC2" w14:textId="77777777" w:rsidR="00892931" w:rsidRPr="00D8718E" w:rsidRDefault="00892931" w:rsidP="004B6BC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B39870D" w14:textId="78C36420" w:rsidR="00892931" w:rsidRPr="00D8718E" w:rsidRDefault="00892931" w:rsidP="004B6BC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8718E">
        <w:rPr>
          <w:rFonts w:ascii="Arial" w:hAnsi="Arial" w:cs="Arial"/>
          <w:sz w:val="24"/>
          <w:szCs w:val="24"/>
        </w:rPr>
        <w:t>However, such a declaration can only be made after following twelve stages of Charity</w:t>
      </w:r>
      <w:r w:rsidR="00B73D56" w:rsidRPr="00D8718E">
        <w:rPr>
          <w:rFonts w:ascii="Arial" w:hAnsi="Arial" w:cs="Arial"/>
          <w:sz w:val="24"/>
          <w:szCs w:val="24"/>
        </w:rPr>
        <w:t xml:space="preserve"> </w:t>
      </w:r>
      <w:r w:rsidRPr="00D8718E">
        <w:rPr>
          <w:rFonts w:ascii="Arial" w:hAnsi="Arial" w:cs="Arial"/>
          <w:sz w:val="24"/>
          <w:szCs w:val="24"/>
        </w:rPr>
        <w:t>Commission directions, so for most smaller charities an independent examination provides</w:t>
      </w:r>
    </w:p>
    <w:p w14:paraId="18FEE487" w14:textId="77777777" w:rsidR="00892931" w:rsidRPr="00D8718E" w:rsidRDefault="00892931" w:rsidP="004B6BC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8718E">
        <w:rPr>
          <w:rFonts w:ascii="Arial" w:hAnsi="Arial" w:cs="Arial"/>
          <w:sz w:val="24"/>
          <w:szCs w:val="24"/>
        </w:rPr>
        <w:t>a very effective scrutiny, which goes much further than the "informal audits" of the past,</w:t>
      </w:r>
    </w:p>
    <w:p w14:paraId="0591CA9D" w14:textId="77777777" w:rsidR="00892931" w:rsidRPr="00D8718E" w:rsidRDefault="00892931" w:rsidP="004B6BC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8718E">
        <w:rPr>
          <w:rFonts w:ascii="Arial" w:hAnsi="Arial" w:cs="Arial"/>
          <w:sz w:val="24"/>
          <w:szCs w:val="24"/>
        </w:rPr>
        <w:t>but which can be carried out without needing a registered auditor.</w:t>
      </w:r>
    </w:p>
    <w:p w14:paraId="4516AC05" w14:textId="77777777" w:rsidR="00892931" w:rsidRPr="00D8718E" w:rsidRDefault="00892931" w:rsidP="004B6BC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1D2247F" w14:textId="4193B6DB" w:rsidR="00892931" w:rsidRPr="00D8718E" w:rsidRDefault="00892931" w:rsidP="004B6BCF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D8718E">
        <w:rPr>
          <w:rFonts w:ascii="Arial" w:hAnsi="Arial" w:cs="Arial"/>
          <w:b/>
          <w:sz w:val="24"/>
          <w:szCs w:val="24"/>
        </w:rPr>
        <w:t xml:space="preserve">Information Required </w:t>
      </w:r>
      <w:r w:rsidR="00651582" w:rsidRPr="00D8718E">
        <w:rPr>
          <w:rFonts w:ascii="Arial" w:hAnsi="Arial" w:cs="Arial"/>
          <w:b/>
          <w:sz w:val="24"/>
          <w:szCs w:val="24"/>
        </w:rPr>
        <w:t>the</w:t>
      </w:r>
      <w:r w:rsidRPr="00D8718E">
        <w:rPr>
          <w:rFonts w:ascii="Arial" w:hAnsi="Arial" w:cs="Arial"/>
          <w:b/>
          <w:sz w:val="24"/>
          <w:szCs w:val="24"/>
        </w:rPr>
        <w:t xml:space="preserve"> First Time </w:t>
      </w:r>
      <w:r w:rsidR="00565CE1" w:rsidRPr="00D8718E">
        <w:rPr>
          <w:rFonts w:ascii="Arial" w:hAnsi="Arial" w:cs="Arial"/>
          <w:b/>
          <w:sz w:val="24"/>
          <w:szCs w:val="24"/>
        </w:rPr>
        <w:t xml:space="preserve">the organisation </w:t>
      </w:r>
      <w:r w:rsidRPr="00D8718E">
        <w:rPr>
          <w:rFonts w:ascii="Arial" w:hAnsi="Arial" w:cs="Arial"/>
          <w:b/>
          <w:sz w:val="24"/>
          <w:szCs w:val="24"/>
        </w:rPr>
        <w:t xml:space="preserve">Does </w:t>
      </w:r>
      <w:r w:rsidR="004B6BCF" w:rsidRPr="00D8718E">
        <w:rPr>
          <w:rFonts w:ascii="Arial" w:hAnsi="Arial" w:cs="Arial"/>
          <w:b/>
          <w:sz w:val="24"/>
          <w:szCs w:val="24"/>
        </w:rPr>
        <w:t>an</w:t>
      </w:r>
      <w:r w:rsidRPr="00D8718E">
        <w:rPr>
          <w:rFonts w:ascii="Arial" w:hAnsi="Arial" w:cs="Arial"/>
          <w:b/>
          <w:sz w:val="24"/>
          <w:szCs w:val="24"/>
        </w:rPr>
        <w:t xml:space="preserve"> Independent</w:t>
      </w:r>
    </w:p>
    <w:p w14:paraId="45CEC619" w14:textId="77777777" w:rsidR="00892931" w:rsidRPr="00D8718E" w:rsidRDefault="00892931" w:rsidP="004B6BCF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D8718E">
        <w:rPr>
          <w:rFonts w:ascii="Arial" w:hAnsi="Arial" w:cs="Arial"/>
          <w:b/>
          <w:sz w:val="24"/>
          <w:szCs w:val="24"/>
        </w:rPr>
        <w:t>Examination</w:t>
      </w:r>
    </w:p>
    <w:p w14:paraId="28927C22" w14:textId="77777777" w:rsidR="00892931" w:rsidRPr="00D8718E" w:rsidRDefault="00892931" w:rsidP="004B6BC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CF527EB" w14:textId="5A41B7B1" w:rsidR="00892931" w:rsidRPr="00D8718E" w:rsidRDefault="00892931" w:rsidP="00A3320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8718E">
        <w:rPr>
          <w:rFonts w:ascii="Arial" w:hAnsi="Arial" w:cs="Arial"/>
          <w:sz w:val="24"/>
          <w:szCs w:val="24"/>
        </w:rPr>
        <w:t xml:space="preserve">Minutes of the meeting recording the election/appointment of </w:t>
      </w:r>
      <w:r w:rsidR="00565CE1" w:rsidRPr="00D8718E">
        <w:rPr>
          <w:rFonts w:ascii="Arial" w:hAnsi="Arial" w:cs="Arial"/>
          <w:sz w:val="24"/>
          <w:szCs w:val="24"/>
        </w:rPr>
        <w:t xml:space="preserve">an </w:t>
      </w:r>
      <w:bookmarkStart w:id="1" w:name="_Hlk504034673"/>
      <w:r w:rsidRPr="00D8718E">
        <w:rPr>
          <w:rFonts w:ascii="Arial" w:hAnsi="Arial" w:cs="Arial"/>
          <w:sz w:val="24"/>
          <w:szCs w:val="24"/>
        </w:rPr>
        <w:t>Independent Examiners</w:t>
      </w:r>
      <w:bookmarkEnd w:id="1"/>
      <w:r w:rsidRPr="00D8718E">
        <w:rPr>
          <w:rFonts w:ascii="Arial" w:hAnsi="Arial" w:cs="Arial"/>
          <w:sz w:val="24"/>
          <w:szCs w:val="24"/>
        </w:rPr>
        <w:t>.</w:t>
      </w:r>
    </w:p>
    <w:p w14:paraId="04092104" w14:textId="0C880D42" w:rsidR="00892931" w:rsidRPr="00D8718E" w:rsidRDefault="00892931" w:rsidP="00A3320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8718E">
        <w:rPr>
          <w:rFonts w:ascii="Arial" w:hAnsi="Arial" w:cs="Arial"/>
          <w:sz w:val="24"/>
          <w:szCs w:val="24"/>
        </w:rPr>
        <w:t xml:space="preserve">A signed letter of engagement between </w:t>
      </w:r>
      <w:r w:rsidR="00565CE1" w:rsidRPr="00D8718E">
        <w:rPr>
          <w:rFonts w:ascii="Arial" w:hAnsi="Arial" w:cs="Arial"/>
          <w:sz w:val="24"/>
          <w:szCs w:val="24"/>
        </w:rPr>
        <w:t>Independent Examiners</w:t>
      </w:r>
      <w:r w:rsidRPr="00D8718E">
        <w:rPr>
          <w:rFonts w:ascii="Arial" w:hAnsi="Arial" w:cs="Arial"/>
          <w:sz w:val="24"/>
          <w:szCs w:val="24"/>
        </w:rPr>
        <w:t xml:space="preserve"> and your organisation.</w:t>
      </w:r>
    </w:p>
    <w:p w14:paraId="6D44443B" w14:textId="77777777" w:rsidR="00892931" w:rsidRPr="00D8718E" w:rsidRDefault="00892931" w:rsidP="004B6BCF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8718E">
        <w:rPr>
          <w:rFonts w:ascii="Arial" w:hAnsi="Arial" w:cs="Arial"/>
          <w:sz w:val="24"/>
          <w:szCs w:val="24"/>
        </w:rPr>
        <w:t>The Constitution or Rules of your organisation. The Memorandum and Articles of Association if it is a Limited Company.</w:t>
      </w:r>
    </w:p>
    <w:p w14:paraId="6EFA8AF6" w14:textId="77777777" w:rsidR="00892931" w:rsidRPr="00D8718E" w:rsidRDefault="00892931" w:rsidP="004B6BCF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8718E">
        <w:rPr>
          <w:rFonts w:ascii="Arial" w:hAnsi="Arial" w:cs="Arial"/>
          <w:sz w:val="24"/>
          <w:szCs w:val="24"/>
        </w:rPr>
        <w:t>A copy of the Charity Registration and/or Company House Registration if applicable.</w:t>
      </w:r>
    </w:p>
    <w:p w14:paraId="6ECC8DA7" w14:textId="77777777" w:rsidR="00892931" w:rsidRPr="00D8718E" w:rsidRDefault="00892931" w:rsidP="004B6BCF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8718E">
        <w:rPr>
          <w:rFonts w:ascii="Arial" w:hAnsi="Arial" w:cs="Arial"/>
          <w:sz w:val="24"/>
          <w:szCs w:val="24"/>
        </w:rPr>
        <w:t>A list of Trustees or committee members.</w:t>
      </w:r>
    </w:p>
    <w:p w14:paraId="50265BE5" w14:textId="77777777" w:rsidR="00892931" w:rsidRPr="00D8718E" w:rsidRDefault="00892931" w:rsidP="004B6BCF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8718E">
        <w:rPr>
          <w:rFonts w:ascii="Arial" w:hAnsi="Arial" w:cs="Arial"/>
          <w:sz w:val="24"/>
          <w:szCs w:val="24"/>
        </w:rPr>
        <w:t>The previous year’s Accounts and Audit/Examination report.</w:t>
      </w:r>
    </w:p>
    <w:p w14:paraId="6AA0536E" w14:textId="77777777" w:rsidR="00892931" w:rsidRPr="00D8718E" w:rsidRDefault="00892931" w:rsidP="004B6BCF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8718E">
        <w:rPr>
          <w:rFonts w:ascii="Arial" w:hAnsi="Arial" w:cs="Arial"/>
          <w:sz w:val="24"/>
          <w:szCs w:val="24"/>
        </w:rPr>
        <w:t>List of cheque signatories with their name and position.</w:t>
      </w:r>
    </w:p>
    <w:p w14:paraId="707A1951" w14:textId="77777777" w:rsidR="00892931" w:rsidRPr="00D8718E" w:rsidRDefault="00892931" w:rsidP="004B6BCF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8718E">
        <w:rPr>
          <w:rFonts w:ascii="Arial" w:hAnsi="Arial" w:cs="Arial"/>
          <w:sz w:val="24"/>
          <w:szCs w:val="24"/>
        </w:rPr>
        <w:t>Equipment inventory including equipment donated to the organisation.</w:t>
      </w:r>
    </w:p>
    <w:p w14:paraId="172A27B2" w14:textId="5615AA5B" w:rsidR="00892931" w:rsidRPr="00D8718E" w:rsidRDefault="00892931" w:rsidP="004B6BCF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8718E">
        <w:rPr>
          <w:rFonts w:ascii="Arial" w:hAnsi="Arial" w:cs="Arial"/>
          <w:sz w:val="24"/>
          <w:szCs w:val="24"/>
        </w:rPr>
        <w:t>Schedule of insurance cover</w:t>
      </w:r>
    </w:p>
    <w:p w14:paraId="18354803" w14:textId="4F186259" w:rsidR="00B50004" w:rsidRPr="00D8718E" w:rsidRDefault="00B50004" w:rsidP="004B6BC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581C034" w14:textId="5D622690" w:rsidR="00B50004" w:rsidRPr="00D8718E" w:rsidRDefault="0051238F" w:rsidP="004B6BC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8718E">
        <w:rPr>
          <w:rFonts w:ascii="Arial" w:hAnsi="Arial" w:cs="Arial"/>
          <w:sz w:val="24"/>
          <w:szCs w:val="24"/>
        </w:rPr>
        <w:t>This is</w:t>
      </w:r>
      <w:r w:rsidR="00B50004" w:rsidRPr="00D8718E">
        <w:rPr>
          <w:rFonts w:ascii="Arial" w:hAnsi="Arial" w:cs="Arial"/>
          <w:sz w:val="24"/>
          <w:szCs w:val="24"/>
        </w:rPr>
        <w:t xml:space="preserve"> not an exhaustive list.</w:t>
      </w:r>
    </w:p>
    <w:p w14:paraId="4741A776" w14:textId="77777777" w:rsidR="00892931" w:rsidRPr="00D8718E" w:rsidRDefault="00892931" w:rsidP="004B6BC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CC244DE" w14:textId="77777777" w:rsidR="00892931" w:rsidRPr="00D8718E" w:rsidRDefault="00892931" w:rsidP="004B6BCF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D8718E">
        <w:rPr>
          <w:rFonts w:ascii="Arial" w:hAnsi="Arial" w:cs="Arial"/>
          <w:b/>
          <w:sz w:val="24"/>
          <w:szCs w:val="24"/>
        </w:rPr>
        <w:t>Information Require Each Year</w:t>
      </w:r>
    </w:p>
    <w:p w14:paraId="03D8BAD0" w14:textId="77777777" w:rsidR="00892931" w:rsidRPr="00D8718E" w:rsidRDefault="00892931" w:rsidP="004B6BC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C837FF3" w14:textId="77777777" w:rsidR="00892931" w:rsidRPr="00D8718E" w:rsidRDefault="00892931" w:rsidP="004B6BCF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8718E">
        <w:rPr>
          <w:rFonts w:ascii="Arial" w:hAnsi="Arial" w:cs="Arial"/>
          <w:sz w:val="24"/>
          <w:szCs w:val="24"/>
        </w:rPr>
        <w:t>The main Bank Book and related receipts and invoices.</w:t>
      </w:r>
    </w:p>
    <w:p w14:paraId="4BD06492" w14:textId="77777777" w:rsidR="00892931" w:rsidRPr="00D8718E" w:rsidRDefault="00892931" w:rsidP="004B6BCF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8718E">
        <w:rPr>
          <w:rFonts w:ascii="Arial" w:hAnsi="Arial" w:cs="Arial"/>
          <w:sz w:val="24"/>
          <w:szCs w:val="24"/>
        </w:rPr>
        <w:t>Minutes of the meeting recording the election/appointment of VASCAS as Independent Examiners</w:t>
      </w:r>
    </w:p>
    <w:p w14:paraId="14AEFFF8" w14:textId="77777777" w:rsidR="00892931" w:rsidRPr="00D8718E" w:rsidRDefault="00892931" w:rsidP="004B6BCF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8718E">
        <w:rPr>
          <w:rFonts w:ascii="Arial" w:hAnsi="Arial" w:cs="Arial"/>
          <w:sz w:val="24"/>
          <w:szCs w:val="24"/>
        </w:rPr>
        <w:t>The Petty Cash Book and related receipts and invoices.</w:t>
      </w:r>
    </w:p>
    <w:p w14:paraId="189E9926" w14:textId="77777777" w:rsidR="00892931" w:rsidRPr="00D8718E" w:rsidRDefault="00892931" w:rsidP="004B6BCF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8718E">
        <w:rPr>
          <w:rFonts w:ascii="Arial" w:hAnsi="Arial" w:cs="Arial"/>
          <w:sz w:val="24"/>
          <w:szCs w:val="24"/>
        </w:rPr>
        <w:t>Bank Statements for the whole period (including the first and last day of the financial period)</w:t>
      </w:r>
    </w:p>
    <w:p w14:paraId="1766084B" w14:textId="77777777" w:rsidR="00892931" w:rsidRPr="00D8718E" w:rsidRDefault="00892931" w:rsidP="004B6BCF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8718E">
        <w:rPr>
          <w:rFonts w:ascii="Arial" w:hAnsi="Arial" w:cs="Arial"/>
          <w:sz w:val="24"/>
          <w:szCs w:val="24"/>
        </w:rPr>
        <w:t>All bankbooks, cheque books, paying in books etc.</w:t>
      </w:r>
    </w:p>
    <w:p w14:paraId="4058F5A5" w14:textId="77777777" w:rsidR="00892931" w:rsidRPr="00D8718E" w:rsidRDefault="00892931" w:rsidP="004B6BCF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8718E">
        <w:rPr>
          <w:rFonts w:ascii="Arial" w:hAnsi="Arial" w:cs="Arial"/>
          <w:sz w:val="24"/>
          <w:szCs w:val="24"/>
        </w:rPr>
        <w:t>Letters, advice notes and copy of original bid applications from Funders.</w:t>
      </w:r>
    </w:p>
    <w:p w14:paraId="2FD490F6" w14:textId="77777777" w:rsidR="00892931" w:rsidRPr="00D8718E" w:rsidRDefault="00892931" w:rsidP="004B6BCF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8718E">
        <w:rPr>
          <w:rFonts w:ascii="Arial" w:hAnsi="Arial" w:cs="Arial"/>
          <w:sz w:val="24"/>
          <w:szCs w:val="24"/>
        </w:rPr>
        <w:t>All wage records for your financial year including tax payments, tax credits, monthly employee and employer NI contributions, pension contributions, P11s, P35s, yellow book etc.</w:t>
      </w:r>
    </w:p>
    <w:p w14:paraId="08C9F4ED" w14:textId="77777777" w:rsidR="00892931" w:rsidRPr="00D8718E" w:rsidRDefault="00892931" w:rsidP="004B6BCF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8718E">
        <w:rPr>
          <w:rFonts w:ascii="Arial" w:hAnsi="Arial" w:cs="Arial"/>
          <w:sz w:val="24"/>
          <w:szCs w:val="24"/>
        </w:rPr>
        <w:t>Any losses to be written off.</w:t>
      </w:r>
    </w:p>
    <w:p w14:paraId="46C5ED7B" w14:textId="77777777" w:rsidR="00892931" w:rsidRPr="00D8718E" w:rsidRDefault="00892931" w:rsidP="004B6BCF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8718E">
        <w:rPr>
          <w:rFonts w:ascii="Arial" w:hAnsi="Arial" w:cs="Arial"/>
          <w:sz w:val="24"/>
          <w:szCs w:val="24"/>
        </w:rPr>
        <w:t>A list of creditors. (Bills unpaid on the last day of the financial period).</w:t>
      </w:r>
    </w:p>
    <w:p w14:paraId="3234692B" w14:textId="77777777" w:rsidR="00892931" w:rsidRPr="00D8718E" w:rsidRDefault="00892931" w:rsidP="004B6BCF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8718E">
        <w:rPr>
          <w:rFonts w:ascii="Arial" w:hAnsi="Arial" w:cs="Arial"/>
          <w:sz w:val="24"/>
          <w:szCs w:val="24"/>
        </w:rPr>
        <w:t>A list of debtors. (Money owed to the organisation on the last day of the financial period).</w:t>
      </w:r>
    </w:p>
    <w:p w14:paraId="1FB3562A" w14:textId="77777777" w:rsidR="00892931" w:rsidRPr="00D8718E" w:rsidRDefault="00892931" w:rsidP="004B6BCF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8718E">
        <w:rPr>
          <w:rFonts w:ascii="Arial" w:hAnsi="Arial" w:cs="Arial"/>
          <w:sz w:val="24"/>
          <w:szCs w:val="24"/>
        </w:rPr>
        <w:t>Minutes of committee meetings during the year.</w:t>
      </w:r>
    </w:p>
    <w:p w14:paraId="3DFD3DEF" w14:textId="77777777" w:rsidR="00892931" w:rsidRPr="00D8718E" w:rsidRDefault="00892931" w:rsidP="004B6BCF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8718E">
        <w:rPr>
          <w:rFonts w:ascii="Arial" w:hAnsi="Arial" w:cs="Arial"/>
          <w:sz w:val="24"/>
          <w:szCs w:val="24"/>
        </w:rPr>
        <w:t>Schedule of insurance cover</w:t>
      </w:r>
    </w:p>
    <w:p w14:paraId="373DC7E6" w14:textId="51F642A9" w:rsidR="00892931" w:rsidRPr="00D8718E" w:rsidRDefault="00892931" w:rsidP="004B6BCF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8718E">
        <w:rPr>
          <w:rFonts w:ascii="Arial" w:hAnsi="Arial" w:cs="Arial"/>
          <w:sz w:val="24"/>
          <w:szCs w:val="24"/>
        </w:rPr>
        <w:t>Any changes made during the year</w:t>
      </w:r>
      <w:r w:rsidR="00565CE1" w:rsidRPr="00D8718E">
        <w:rPr>
          <w:rFonts w:ascii="Arial" w:hAnsi="Arial" w:cs="Arial"/>
          <w:sz w:val="24"/>
          <w:szCs w:val="24"/>
        </w:rPr>
        <w:t>.</w:t>
      </w:r>
    </w:p>
    <w:p w14:paraId="582AA6BC" w14:textId="715AEDB4" w:rsidR="00892931" w:rsidRPr="00D8718E" w:rsidRDefault="00892931" w:rsidP="004B6BCF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8718E">
        <w:rPr>
          <w:rFonts w:ascii="Arial" w:hAnsi="Arial" w:cs="Arial"/>
          <w:sz w:val="24"/>
          <w:szCs w:val="24"/>
        </w:rPr>
        <w:t xml:space="preserve">If accounts are prepared on a computer a </w:t>
      </w:r>
      <w:r w:rsidR="00945122" w:rsidRPr="00D8718E">
        <w:rPr>
          <w:rFonts w:ascii="Arial" w:hAnsi="Arial" w:cs="Arial"/>
          <w:sz w:val="24"/>
          <w:szCs w:val="24"/>
        </w:rPr>
        <w:t>backup</w:t>
      </w:r>
      <w:r w:rsidRPr="00D8718E">
        <w:rPr>
          <w:rFonts w:ascii="Arial" w:hAnsi="Arial" w:cs="Arial"/>
          <w:sz w:val="24"/>
          <w:szCs w:val="24"/>
        </w:rPr>
        <w:t xml:space="preserve"> copy of the data to be provided on disc.</w:t>
      </w:r>
    </w:p>
    <w:p w14:paraId="774B4E83" w14:textId="77777777" w:rsidR="00892931" w:rsidRPr="00D8718E" w:rsidRDefault="00892931" w:rsidP="004B6BCF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8718E">
        <w:rPr>
          <w:rFonts w:ascii="Arial" w:hAnsi="Arial" w:cs="Arial"/>
          <w:sz w:val="24"/>
          <w:szCs w:val="24"/>
        </w:rPr>
        <w:t>Review of activities for the year.</w:t>
      </w:r>
    </w:p>
    <w:p w14:paraId="1F0FFE17" w14:textId="77777777" w:rsidR="00892931" w:rsidRPr="00D8718E" w:rsidRDefault="00892931" w:rsidP="004B6BCF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8718E">
        <w:rPr>
          <w:rFonts w:ascii="Arial" w:hAnsi="Arial" w:cs="Arial"/>
          <w:sz w:val="24"/>
          <w:szCs w:val="24"/>
        </w:rPr>
        <w:t>Reserves Policy.</w:t>
      </w:r>
    </w:p>
    <w:p w14:paraId="43936DA1" w14:textId="77777777" w:rsidR="00892931" w:rsidRPr="00D8718E" w:rsidRDefault="00892931" w:rsidP="004B6BCF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8718E">
        <w:rPr>
          <w:rFonts w:ascii="Arial" w:hAnsi="Arial" w:cs="Arial"/>
          <w:sz w:val="24"/>
          <w:szCs w:val="24"/>
        </w:rPr>
        <w:t>Investment Policy.</w:t>
      </w:r>
    </w:p>
    <w:p w14:paraId="09E198F3" w14:textId="77777777" w:rsidR="00892931" w:rsidRPr="00D8718E" w:rsidRDefault="00892931" w:rsidP="004B6BCF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8718E">
        <w:rPr>
          <w:rFonts w:ascii="Arial" w:hAnsi="Arial" w:cs="Arial"/>
          <w:sz w:val="24"/>
          <w:szCs w:val="24"/>
        </w:rPr>
        <w:t>Any other information you feel relevant.</w:t>
      </w:r>
    </w:p>
    <w:p w14:paraId="000343A2" w14:textId="421AC96F" w:rsidR="00892931" w:rsidRPr="00D8718E" w:rsidRDefault="00892931" w:rsidP="004B6BCF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8718E">
        <w:rPr>
          <w:rFonts w:ascii="Arial" w:hAnsi="Arial" w:cs="Arial"/>
          <w:sz w:val="24"/>
          <w:szCs w:val="24"/>
        </w:rPr>
        <w:t xml:space="preserve">Petty Cash Balance at the end of financial year, </w:t>
      </w:r>
      <w:proofErr w:type="gramStart"/>
      <w:r w:rsidRPr="00D8718E">
        <w:rPr>
          <w:rFonts w:ascii="Arial" w:hAnsi="Arial" w:cs="Arial"/>
          <w:sz w:val="24"/>
          <w:szCs w:val="24"/>
        </w:rPr>
        <w:t>actually counted</w:t>
      </w:r>
      <w:proofErr w:type="gramEnd"/>
      <w:r w:rsidRPr="00D8718E">
        <w:rPr>
          <w:rFonts w:ascii="Arial" w:hAnsi="Arial" w:cs="Arial"/>
          <w:sz w:val="24"/>
          <w:szCs w:val="24"/>
        </w:rPr>
        <w:t xml:space="preserve"> in the petty cash tin.</w:t>
      </w:r>
    </w:p>
    <w:p w14:paraId="35FE080B" w14:textId="6D874F1B" w:rsidR="00B73143" w:rsidRPr="00D8718E" w:rsidRDefault="00B73143" w:rsidP="004B6BC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AF2B917" w14:textId="786EF48D" w:rsidR="00B73143" w:rsidRPr="00D8718E" w:rsidRDefault="00B73143" w:rsidP="004B6BCF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D8718E">
        <w:rPr>
          <w:rFonts w:ascii="Arial" w:hAnsi="Arial" w:cs="Arial"/>
          <w:b/>
          <w:sz w:val="24"/>
          <w:szCs w:val="24"/>
        </w:rPr>
        <w:t>Information (Links)</w:t>
      </w:r>
    </w:p>
    <w:p w14:paraId="53A8C74C" w14:textId="0FA56AC9" w:rsidR="00B73143" w:rsidRPr="00D8718E" w:rsidRDefault="00B73143" w:rsidP="004B6BC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8718E">
        <w:rPr>
          <w:rFonts w:ascii="Arial" w:hAnsi="Arial" w:cs="Arial"/>
          <w:sz w:val="24"/>
          <w:szCs w:val="24"/>
        </w:rPr>
        <w:t>Charity reporting and accounting - the essentials March 2015 (CC15c)</w:t>
      </w:r>
    </w:p>
    <w:p w14:paraId="57FE6CB2" w14:textId="1916FD6E" w:rsidR="00B73143" w:rsidRPr="00D8718E" w:rsidRDefault="00B73143" w:rsidP="004B6BC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8718E">
        <w:rPr>
          <w:rFonts w:ascii="Arial" w:hAnsi="Arial" w:cs="Arial"/>
          <w:sz w:val="24"/>
          <w:szCs w:val="24"/>
        </w:rPr>
        <w:t>The Charities Act 2011 (Group Accounts) Regulations 2015</w:t>
      </w:r>
    </w:p>
    <w:sectPr w:rsidR="00B73143" w:rsidRPr="00D8718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FF25A" w14:textId="77777777" w:rsidR="00980FBE" w:rsidRDefault="00980FBE" w:rsidP="00200A73">
      <w:pPr>
        <w:spacing w:after="0" w:line="240" w:lineRule="auto"/>
      </w:pPr>
      <w:r>
        <w:separator/>
      </w:r>
    </w:p>
  </w:endnote>
  <w:endnote w:type="continuationSeparator" w:id="0">
    <w:p w14:paraId="3BBB592F" w14:textId="77777777" w:rsidR="00980FBE" w:rsidRDefault="00980FBE" w:rsidP="00200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91650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232224" w14:textId="60C57772" w:rsidR="00200A73" w:rsidRDefault="002B282C">
        <w:pPr>
          <w:pStyle w:val="Footer"/>
          <w:jc w:val="cen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25F3D12D" wp14:editId="1E562A5E">
              <wp:simplePos x="0" y="0"/>
              <wp:positionH relativeFrom="column">
                <wp:posOffset>5677117</wp:posOffset>
              </wp:positionH>
              <wp:positionV relativeFrom="paragraph">
                <wp:posOffset>-175895</wp:posOffset>
              </wp:positionV>
              <wp:extent cx="619125" cy="866444"/>
              <wp:effectExtent l="0" t="0" r="0" b="0"/>
              <wp:wrapNone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City Bridge Trust Log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9125" cy="8664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4F3893FD" wp14:editId="277AC03C">
              <wp:simplePos x="0" y="0"/>
              <wp:positionH relativeFrom="column">
                <wp:posOffset>4600575</wp:posOffset>
              </wp:positionH>
              <wp:positionV relativeFrom="paragraph">
                <wp:posOffset>-45085</wp:posOffset>
              </wp:positionV>
              <wp:extent cx="971550" cy="728357"/>
              <wp:effectExtent l="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AM logo transparent.jp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71550" cy="72835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00A73">
          <w:fldChar w:fldCharType="begin"/>
        </w:r>
        <w:r w:rsidR="00200A73">
          <w:instrText xml:space="preserve"> PAGE   \* MERGEFORMAT </w:instrText>
        </w:r>
        <w:r w:rsidR="00200A73">
          <w:fldChar w:fldCharType="separate"/>
        </w:r>
        <w:r w:rsidR="00323CFF">
          <w:rPr>
            <w:noProof/>
          </w:rPr>
          <w:t>1</w:t>
        </w:r>
        <w:r w:rsidR="00200A73">
          <w:rPr>
            <w:noProof/>
          </w:rPr>
          <w:fldChar w:fldCharType="end"/>
        </w:r>
      </w:p>
    </w:sdtContent>
  </w:sdt>
  <w:p w14:paraId="63927B12" w14:textId="0CE5A3B1" w:rsidR="00200A73" w:rsidRDefault="005F4FD2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3B01E" w14:textId="77777777" w:rsidR="00980FBE" w:rsidRDefault="00980FBE" w:rsidP="00200A73">
      <w:pPr>
        <w:spacing w:after="0" w:line="240" w:lineRule="auto"/>
      </w:pPr>
      <w:r>
        <w:separator/>
      </w:r>
    </w:p>
  </w:footnote>
  <w:footnote w:type="continuationSeparator" w:id="0">
    <w:p w14:paraId="7793B1C7" w14:textId="77777777" w:rsidR="00980FBE" w:rsidRDefault="00980FBE" w:rsidP="00200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22462" w14:textId="06F9C3E6" w:rsidR="00DD15EF" w:rsidRPr="00DD15EF" w:rsidRDefault="002B282C" w:rsidP="00DD15EF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304196" wp14:editId="5678CC07">
          <wp:simplePos x="0" y="0"/>
          <wp:positionH relativeFrom="margin">
            <wp:posOffset>923925</wp:posOffset>
          </wp:positionH>
          <wp:positionV relativeFrom="paragraph">
            <wp:posOffset>-1592580</wp:posOffset>
          </wp:positionV>
          <wp:extent cx="3821800" cy="30575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tter Finances -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3260" cy="3058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325E1"/>
    <w:multiLevelType w:val="hybridMultilevel"/>
    <w:tmpl w:val="B5726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54F83"/>
    <w:multiLevelType w:val="hybridMultilevel"/>
    <w:tmpl w:val="3AC64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F0560"/>
    <w:multiLevelType w:val="hybridMultilevel"/>
    <w:tmpl w:val="DA605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931"/>
    <w:rsid w:val="000F1F28"/>
    <w:rsid w:val="001214D0"/>
    <w:rsid w:val="001628DB"/>
    <w:rsid w:val="00165DD0"/>
    <w:rsid w:val="00200A73"/>
    <w:rsid w:val="00291A03"/>
    <w:rsid w:val="002B282C"/>
    <w:rsid w:val="00302C9A"/>
    <w:rsid w:val="00323CFF"/>
    <w:rsid w:val="003E3777"/>
    <w:rsid w:val="004131F4"/>
    <w:rsid w:val="004721A8"/>
    <w:rsid w:val="004B65CD"/>
    <w:rsid w:val="004B6BCF"/>
    <w:rsid w:val="004C1BF0"/>
    <w:rsid w:val="00500B9D"/>
    <w:rsid w:val="0051238F"/>
    <w:rsid w:val="005520D5"/>
    <w:rsid w:val="00565CE1"/>
    <w:rsid w:val="005A560A"/>
    <w:rsid w:val="005F4FD2"/>
    <w:rsid w:val="00651582"/>
    <w:rsid w:val="007A3ABE"/>
    <w:rsid w:val="007F1F10"/>
    <w:rsid w:val="00892931"/>
    <w:rsid w:val="00945122"/>
    <w:rsid w:val="00980FBE"/>
    <w:rsid w:val="00A3320A"/>
    <w:rsid w:val="00AC624C"/>
    <w:rsid w:val="00B50004"/>
    <w:rsid w:val="00B73143"/>
    <w:rsid w:val="00B73D56"/>
    <w:rsid w:val="00D8718E"/>
    <w:rsid w:val="00DD15EF"/>
    <w:rsid w:val="00EB7519"/>
    <w:rsid w:val="00EE2206"/>
    <w:rsid w:val="00FE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5D1A7"/>
  <w15:chartTrackingRefBased/>
  <w15:docId w15:val="{05C91C7C-C3E0-40AC-B7C9-B8F0CD7D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18E"/>
  </w:style>
  <w:style w:type="paragraph" w:styleId="Heading1">
    <w:name w:val="heading 1"/>
    <w:basedOn w:val="Normal"/>
    <w:next w:val="Normal"/>
    <w:link w:val="Heading1Char"/>
    <w:uiPriority w:val="9"/>
    <w:qFormat/>
    <w:rsid w:val="00D8718E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718E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718E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718E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718E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718E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718E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718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718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71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4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0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A73"/>
  </w:style>
  <w:style w:type="paragraph" w:styleId="Footer">
    <w:name w:val="footer"/>
    <w:basedOn w:val="Normal"/>
    <w:link w:val="FooterChar"/>
    <w:uiPriority w:val="99"/>
    <w:unhideWhenUsed/>
    <w:rsid w:val="00200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A73"/>
  </w:style>
  <w:style w:type="character" w:customStyle="1" w:styleId="Heading1Char">
    <w:name w:val="Heading 1 Char"/>
    <w:basedOn w:val="DefaultParagraphFont"/>
    <w:link w:val="Heading1"/>
    <w:uiPriority w:val="9"/>
    <w:rsid w:val="00D8718E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718E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718E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718E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718E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718E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718E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718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718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718E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8718E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718E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718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8718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8718E"/>
    <w:rPr>
      <w:b/>
      <w:bCs/>
    </w:rPr>
  </w:style>
  <w:style w:type="character" w:styleId="Emphasis">
    <w:name w:val="Emphasis"/>
    <w:uiPriority w:val="20"/>
    <w:qFormat/>
    <w:rsid w:val="00D8718E"/>
    <w:rPr>
      <w:caps/>
      <w:color w:val="1F3763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D8718E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8718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718E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718E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D8718E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D8718E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D8718E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D8718E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D8718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718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2A16D51837B64590B4AEBCD645AEF3" ma:contentTypeVersion="8" ma:contentTypeDescription="Create a new document." ma:contentTypeScope="" ma:versionID="ca8ad9d169f3fae41436f12e26e3f880">
  <xsd:schema xmlns:xsd="http://www.w3.org/2001/XMLSchema" xmlns:xs="http://www.w3.org/2001/XMLSchema" xmlns:p="http://schemas.microsoft.com/office/2006/metadata/properties" xmlns:ns2="9b4146d4-c854-40ec-9134-e682f9c762a6" xmlns:ns3="e2b0a9e1-f91b-4965-86cf-da3b2921bf71" targetNamespace="http://schemas.microsoft.com/office/2006/metadata/properties" ma:root="true" ma:fieldsID="9cb602f3dd0e2ea825e2edfdb61355be" ns2:_="" ns3:_="">
    <xsd:import namespace="9b4146d4-c854-40ec-9134-e682f9c762a6"/>
    <xsd:import namespace="e2b0a9e1-f91b-4965-86cf-da3b2921bf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146d4-c854-40ec-9134-e682f9c76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0a9e1-f91b-4965-86cf-da3b2921bf7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198B56-93D0-4E69-A03F-7F296D0A1DCF}">
  <ds:schemaRefs>
    <ds:schemaRef ds:uri="http://purl.org/dc/elements/1.1/"/>
    <ds:schemaRef ds:uri="http://schemas.microsoft.com/office/2006/metadata/properties"/>
    <ds:schemaRef ds:uri="9b4146d4-c854-40ec-9134-e682f9c762a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e2b0a9e1-f91b-4965-86cf-da3b2921bf7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2DA8A9D-C87A-4924-BB97-050931D2D1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E2A3D4-5860-4B19-A0E5-56C3A59E2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4146d4-c854-40ec-9134-e682f9c762a6"/>
    <ds:schemaRef ds:uri="e2b0a9e1-f91b-4965-86cf-da3b2921bf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Arrale</dc:creator>
  <cp:keywords/>
  <dc:description/>
  <cp:lastModifiedBy>Nazia Sultana</cp:lastModifiedBy>
  <cp:revision>2</cp:revision>
  <cp:lastPrinted>2018-04-20T09:15:00Z</cp:lastPrinted>
  <dcterms:created xsi:type="dcterms:W3CDTF">2018-07-27T09:40:00Z</dcterms:created>
  <dcterms:modified xsi:type="dcterms:W3CDTF">2018-07-27T09:40:00Z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0x010100EC2A16D51837B64590B4AEBCD645AEF3</vt:lpwstr>
  </property>
</Properties>
</file>